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cock of the former being generally of a bright yellow hue, with black crown, tail and wings—the last conspicuously barred with white, while neither hens nor young exhibit any striations. On the other hand, neither sex of the latter at any age puts off its striped garb—the mark, it may be pretty safely asserted, of an inferior stage of development. The remaining species of the group, mostly South- American, do not seem here to need particular notice. (A. 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SISLEY, ALFRED </w:t>
      </w:r>
      <w:r>
        <w:rPr>
          <w:rFonts w:ascii="Times New Roman" w:eastAsia="Times New Roman" w:hAnsi="Times New Roman" w:cs="Times New Roman"/>
          <w:color w:val="000000"/>
          <w:spacing w:val="0"/>
          <w:w w:val="100"/>
          <w:position w:val="0"/>
          <w:shd w:val="clear" w:color="auto" w:fill="auto"/>
          <w:lang w:val="en-US" w:eastAsia="en-US" w:bidi="en-US"/>
        </w:rPr>
        <w:t xml:space="preserve">(1840-1899), French landscape painter, was born in Paris in 1839, of English parents. He studied painting under Gleyre, and was afterwards influenced, first by Corot, and then by the impressionists Monet and Renoir. He worked both in France and in England, and made the Seine, the Loing and the Thames the subjects of many pictures that are remarkable for the subtle appreciation of the most delicate colour effects. Success was not given him during his life, which was one of constant poverty and hard struggle. Purchasers of his pictures were few and far between, although the prices rarely exceeded a few pounds. Only after his death, which occurred at Moret-sur-Loing in 1899, did his work find appreciation, and at the Viau sale in Paris, in 1907, his small painting of “ The Seine at Port-Marly ” realized £652, whilst ten other landscapes sold at prices ranging from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400. He was essentially a colourist who, like Monet, delighted in recording the changing effects of light in the successive hours of the day, and paid very little attention to composition and draughtsmanship. The impressionist exhibition at the Grafton Galleries, London, in 1905, included several characteristic examples of his work. Sisley is also represented at the Luxembourg in the Caillebotte collection.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SISMONDI, JEAN CHARLES LEONARD DE </w:t>
      </w:r>
      <w:r>
        <w:rPr>
          <w:rFonts w:ascii="Times New Roman" w:eastAsia="Times New Roman" w:hAnsi="Times New Roman" w:cs="Times New Roman"/>
          <w:color w:val="000000"/>
          <w:spacing w:val="0"/>
          <w:w w:val="100"/>
          <w:position w:val="0"/>
          <w:shd w:val="clear" w:color="auto" w:fill="auto"/>
          <w:lang w:val="en-US" w:eastAsia="en-US" w:bidi="en-US"/>
        </w:rPr>
        <w:t xml:space="preserve">(1773-1842), whose real name was Simonde,was bom at Geneva, on the 9th of May 1773. His father and all his ancestors seem to have borne the name Simonde, at least from the time when they migrated from </w:t>
      </w:r>
      <w:r>
        <w:rPr>
          <w:rFonts w:ascii="Times New Roman" w:eastAsia="Times New Roman" w:hAnsi="Times New Roman" w:cs="Times New Roman"/>
          <w:color w:val="000000"/>
          <w:spacing w:val="0"/>
          <w:w w:val="100"/>
          <w:position w:val="0"/>
          <w:shd w:val="clear" w:color="auto" w:fill="auto"/>
          <w:lang w:val="fr-FR" w:eastAsia="fr-FR" w:bidi="fr-FR"/>
        </w:rPr>
        <w:t xml:space="preserve">Dauphiné </w:t>
      </w:r>
      <w:r>
        <w:rPr>
          <w:rFonts w:ascii="Times New Roman" w:eastAsia="Times New Roman" w:hAnsi="Times New Roman" w:cs="Times New Roman"/>
          <w:color w:val="000000"/>
          <w:spacing w:val="0"/>
          <w:w w:val="100"/>
          <w:position w:val="0"/>
          <w:shd w:val="clear" w:color="auto" w:fill="auto"/>
          <w:lang w:val="en-US" w:eastAsia="en-US" w:bidi="en-US"/>
        </w:rPr>
        <w:t xml:space="preserve">to Switzerland at the revocation of the edict of Nantes. It was not till after Sismondi had become an author that, observing the identity of his family arms with those of the once flourishing Pisan house of the Sismondi, and finding that some members of that house had migrated to France, he assumed the connexion without further proof and called himself De Sismondi. The Simondes, however, were themselves citizens of Geneva of the upper class, and possessed both rank and property, though the father was also a village pastor. The future historian was well educated, but his family wished him to devote himself to commerce rather than literature, and he became a banker’s clerk at Lyons. Then the Revolution broke out, and as it affected Geneva the Simonde family took refuge in England, where they stayed for eighteen months (1793-1794). Disliking, it is said, the climate, they returned to Geneva, but found the state of affairs still unfavourable; there is even a legend that the head of the family was reduced to sell milk himself in the town. The greater part of the family property was sold, and with the proceeds they emigrated to Italy, bought a small farm at Pescia near Lucca, and set to work to cultivate it themselves. Sismondi worked hard here, both with his hands and his mind, and his experiences gave him the material of his first book,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Tableau de l'agriculture </w:t>
      </w:r>
      <w:r>
        <w:rPr>
          <w:rFonts w:ascii="Times New Roman" w:eastAsia="Times New Roman" w:hAnsi="Times New Roman" w:cs="Times New Roman"/>
          <w:i/>
          <w:iCs/>
          <w:color w:val="000000"/>
          <w:spacing w:val="0"/>
          <w:w w:val="100"/>
          <w:position w:val="0"/>
          <w:shd w:val="clear" w:color="auto" w:fill="auto"/>
          <w:lang w:val="fr-FR" w:eastAsia="fr-FR" w:bidi="fr-FR"/>
        </w:rPr>
        <w:t>toscane,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after returning to Geneva, he published there in 1801. In 1803 he published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w:t>
      </w:r>
      <w:r>
        <w:rPr>
          <w:rFonts w:ascii="Times New Roman" w:eastAsia="Times New Roman" w:hAnsi="Times New Roman" w:cs="Times New Roman"/>
          <w:i/>
          <w:iCs/>
          <w:color w:val="000000"/>
          <w:spacing w:val="0"/>
          <w:w w:val="100"/>
          <w:position w:val="0"/>
          <w:shd w:val="clear" w:color="auto" w:fill="auto"/>
          <w:lang w:val="fr-FR" w:eastAsia="fr-FR" w:bidi="fr-FR"/>
        </w:rPr>
        <w:t>richesse commerciale,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first work on the subject of political economy, which, with some differences of view, continued to interest him to the end of his life.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an economist, Sismondi represented a humanitarian protest against the dominant orthodoxy of his time. In his first book he followed Adam Smith, but in his principal subsequent economic work,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Nouveaux Principes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économie </w:t>
      </w:r>
      <w:r>
        <w:rPr>
          <w:rFonts w:ascii="Times New Roman" w:eastAsia="Times New Roman" w:hAnsi="Times New Roman" w:cs="Times New Roman"/>
          <w:i/>
          <w:iCs/>
          <w:color w:val="000000"/>
          <w:spacing w:val="0"/>
          <w:w w:val="100"/>
          <w:position w:val="0"/>
          <w:shd w:val="clear" w:color="auto" w:fill="auto"/>
          <w:lang w:val="en-US" w:eastAsia="en-US" w:bidi="en-US"/>
        </w:rPr>
        <w:t>politique</w:t>
      </w:r>
      <w:r>
        <w:rPr>
          <w:rFonts w:ascii="Times New Roman" w:eastAsia="Times New Roman" w:hAnsi="Times New Roman" w:cs="Times New Roman"/>
          <w:color w:val="000000"/>
          <w:spacing w:val="0"/>
          <w:w w:val="100"/>
          <w:position w:val="0"/>
          <w:shd w:val="clear" w:color="auto" w:fill="auto"/>
          <w:lang w:val="en-US" w:eastAsia="en-US" w:bidi="en-US"/>
        </w:rPr>
        <w:t xml:space="preserve"> (1819), he insisted on the fact that economic science studied the means of increasing wealth too much, and the use of wealth for producing happiness too little. He was not a socialist; but, in protesting against </w:t>
      </w:r>
      <w:r>
        <w:rPr>
          <w:rFonts w:ascii="Times New Roman" w:eastAsia="Times New Roman" w:hAnsi="Times New Roman" w:cs="Times New Roman"/>
          <w:i/>
          <w:iCs/>
          <w:color w:val="000000"/>
          <w:spacing w:val="0"/>
          <w:w w:val="100"/>
          <w:position w:val="0"/>
          <w:shd w:val="clear" w:color="auto" w:fill="auto"/>
          <w:lang w:val="fr-FR" w:eastAsia="fr-FR" w:bidi="fr-FR"/>
        </w:rPr>
        <w:t>laisser faire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invoking the intervention of government "to regulate the progress of wealth,” he was an  interesting precursor of the German “ socialists of the chair.”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he began to compile his great </w:t>
      </w:r>
      <w:r>
        <w:rPr>
          <w:rFonts w:ascii="Times New Roman" w:eastAsia="Times New Roman" w:hAnsi="Times New Roman" w:cs="Times New Roman"/>
          <w:i/>
          <w:iCs/>
          <w:color w:val="000000"/>
          <w:spacing w:val="0"/>
          <w:w w:val="100"/>
          <w:position w:val="0"/>
          <w:shd w:val="clear" w:color="auto" w:fill="auto"/>
          <w:lang w:val="fr-FR" w:eastAsia="fr-FR" w:bidi="fr-FR"/>
        </w:rPr>
        <w:t>Histoire des Ré</w:t>
        <w:softHyphen/>
        <w:t>publiques Italiennes du moyen âge,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introduced to Madame de Stael. With her he became very intimate, and after being </w:t>
      </w:r>
      <w:r>
        <w:rPr>
          <w:rFonts w:ascii="Times New Roman" w:eastAsia="Times New Roman" w:hAnsi="Times New Roman" w:cs="Times New Roman"/>
          <w:color w:val="000000"/>
          <w:spacing w:val="0"/>
          <w:w w:val="100"/>
          <w:position w:val="0"/>
          <w:shd w:val="clear" w:color="auto" w:fill="auto"/>
          <w:lang w:val="en-US" w:eastAsia="en-US" w:bidi="en-US"/>
        </w:rPr>
        <w:t xml:space="preserve">regularly enrolled in the society of Coppet he was invited or commanded (for Madame de Stael’s invitations had something of command) to form one of the suite with which the future Corinne made the journey into Italy, resulting in </w:t>
      </w:r>
      <w:r>
        <w:rPr>
          <w:rFonts w:ascii="Times New Roman" w:eastAsia="Times New Roman" w:hAnsi="Times New Roman" w:cs="Times New Roman"/>
          <w:i/>
          <w:iCs/>
          <w:color w:val="000000"/>
          <w:spacing w:val="0"/>
          <w:w w:val="100"/>
          <w:position w:val="0"/>
          <w:shd w:val="clear" w:color="auto" w:fill="auto"/>
          <w:lang w:val="en-US" w:eastAsia="en-US" w:bidi="en-US"/>
        </w:rPr>
        <w:t>Corinne</w:t>
      </w:r>
      <w:r>
        <w:rPr>
          <w:rFonts w:ascii="Times New Roman" w:eastAsia="Times New Roman" w:hAnsi="Times New Roman" w:cs="Times New Roman"/>
          <w:color w:val="000000"/>
          <w:spacing w:val="0"/>
          <w:w w:val="100"/>
          <w:position w:val="0"/>
          <w:shd w:val="clear" w:color="auto" w:fill="auto"/>
          <w:lang w:val="en-US" w:eastAsia="en-US" w:bidi="en-US"/>
        </w:rPr>
        <w:t xml:space="preserve"> itself during the years 1804-1805. Sismondi was not altogether at his ease here, and he particularly disliked Schlegel, who was also of the company. But during this journey he made the acquaintance of the countess of Albany, Louisa of </w:t>
      </w:r>
      <w:r>
        <w:rPr>
          <w:rFonts w:ascii="Times New Roman" w:eastAsia="Times New Roman" w:hAnsi="Times New Roman" w:cs="Times New Roman"/>
          <w:color w:val="000000"/>
          <w:spacing w:val="0"/>
          <w:w w:val="100"/>
          <w:position w:val="0"/>
          <w:shd w:val="clear" w:color="auto" w:fill="auto"/>
          <w:lang w:val="de-DE" w:eastAsia="de-DE" w:bidi="de-DE"/>
        </w:rPr>
        <w:t xml:space="preserve">Stolberg, </w:t>
      </w:r>
      <w:r>
        <w:rPr>
          <w:rFonts w:ascii="Times New Roman" w:eastAsia="Times New Roman" w:hAnsi="Times New Roman" w:cs="Times New Roman"/>
          <w:color w:val="000000"/>
          <w:spacing w:val="0"/>
          <w:w w:val="100"/>
          <w:position w:val="0"/>
          <w:shd w:val="clear" w:color="auto" w:fill="auto"/>
          <w:lang w:val="en-US" w:eastAsia="en-US" w:bidi="en-US"/>
        </w:rPr>
        <w:t>widow of Charles Edward, and all her life long gifted with a singular faculty of attracting the affection (Platonic and other) of men of letters. She was now an old woman, and Sismondi’s relations with her were of the strictly friendly character, but they were close and lasted long, and they produced much valuable and interesting correspondence. In 1807 appeared the first volumes of the above mentioned book on the Italian republics, which (though his essay in political economy had brought him some reputation and the offer of a Russian professorship) first made Sismondi prominent among European men of letters. The completion of this book, which extended to sixteen volumes, occupied him, though by no means entirely, for the next eleven years. He lived at first at Geneva, and delivered there some interesting lectures on the literature of the south of Europe, which were continued from time to time and finally published; and he held an official post— that of secretary of the chamber of commerce for the then department of Leman. In 1813 he visited Paris for the first time, and abode there for some time, mixing much in literary society. Although a Liberal and in his earlier days almost an Anglo</w:t>
        <w:softHyphen/>
        <w:t xml:space="preserve">maniac, he did not welcome the fall of the empire. During the Hundred Days he defended Napoleon’s constitutional schemes or promises, and had an interview with the emperor himself, which is one of the chief events of a not very eventful life. After the Restoration he left Paris. On completing (1817) his great book on the Italian republics, he undertook (1818) a still greater, the </w:t>
      </w:r>
      <w:r>
        <w:rPr>
          <w:rFonts w:ascii="Times New Roman" w:eastAsia="Times New Roman" w:hAnsi="Times New Roman" w:cs="Times New Roman"/>
          <w:i/>
          <w:iCs/>
          <w:color w:val="000000"/>
          <w:spacing w:val="0"/>
          <w:w w:val="100"/>
          <w:position w:val="0"/>
          <w:shd w:val="clear" w:color="auto" w:fill="auto"/>
          <w:lang w:val="fr-FR" w:eastAsia="fr-FR" w:bidi="fr-FR"/>
        </w:rPr>
        <w:t>Histoire des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planned on a vast scale, and of which during the remaining twenty-three years of his life he published twenty-nine volumes. His untiring industry enabled him to compile many other books, but it is on these two that his fame chiefly rests. The earlier displays his qualities in the most favourable light, and has been least injuriously affected by subsequent writings and investigations; but the </w:t>
      </w:r>
      <w:r>
        <w:rPr>
          <w:rFonts w:ascii="Times New Roman" w:eastAsia="Times New Roman" w:hAnsi="Times New Roman" w:cs="Times New Roman"/>
          <w:i/>
          <w:iCs/>
          <w:color w:val="000000"/>
          <w:spacing w:val="0"/>
          <w:w w:val="100"/>
          <w:position w:val="0"/>
          <w:shd w:val="clear" w:color="auto" w:fill="auto"/>
          <w:lang w:val="fr-FR" w:eastAsia="fr-FR" w:bidi="fr-FR"/>
        </w:rPr>
        <w:t>Histoire des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careful and accurate sketch on the great scale, has now been superseded.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has with benevolent sarcasm surnamed the author "the Rollin of French History,” and the praise and the blame implied in the comparison are both perfectly well deserved. In April 1819 Sismondi married an English lady, Miss Allen, whose sister was the wife of Sir James Mackintosh, and the marriage appears to have been a very happy one. His later years were chiefly spent at Geneva, in the politics of which city he took a great, though as time and changes went on a more and more chagrined, interest. Indeed, in his later days he became a kind of reactionary. He died at Geneva on the 25th of June 1842.</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Besides the works above mentioned he had executed many others, his custom for a long period of years being never to work fess than eight hours a day. The, chief of these are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Littérature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du midi de l'Europe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(1813), an historical novel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Julia Severa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ou 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 492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(1822),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la Renaissance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la liberté en Italie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(1832),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Histoire de la chute de l'empire romain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(1835),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Précis de l'histoire des Français,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an </w:t>
      </w:r>
      <w:r>
        <w:rPr>
          <w:rFonts w:ascii="Times New Roman" w:eastAsia="Times New Roman" w:hAnsi="Times New Roman" w:cs="Times New Roman"/>
          <w:color w:val="000000"/>
          <w:spacing w:val="0"/>
          <w:w w:val="100"/>
          <w:position w:val="0"/>
          <w:sz w:val="18"/>
          <w:szCs w:val="18"/>
          <w:shd w:val="clear" w:color="auto" w:fill="auto"/>
          <w:lang w:val="en-US" w:eastAsia="en-US" w:bidi="en-US"/>
        </w:rPr>
        <w:t>abridgment of his own book (1839), with several others, chiefly, political pamphlets.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Sismondi’s journals and his correspondence with Channing, with the countess of Albany and others have been published chiefly by Mlle. Mongolfier (Paris, 1843) and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Saint-René Taillandier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1863). The latter work serves as the chief text of two admirable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Lundis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fr-FR" w:eastAsia="fr-FR" w:bidi="fr-FR"/>
        </w:rPr>
        <w:t>Sainte-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Beuγe (September 1863), republished 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Nouveaux Lundis,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vi.</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SISSEK (Hungarian, </w:t>
      </w:r>
      <w:r>
        <w:rPr>
          <w:rFonts w:ascii="Times New Roman" w:eastAsia="Times New Roman" w:hAnsi="Times New Roman" w:cs="Times New Roman"/>
          <w:i/>
          <w:iCs/>
          <w:color w:val="000000"/>
          <w:spacing w:val="0"/>
          <w:w w:val="100"/>
          <w:position w:val="0"/>
          <w:shd w:val="clear" w:color="auto" w:fill="auto"/>
          <w:lang w:val="en-US" w:eastAsia="en-US" w:bidi="en-US"/>
        </w:rPr>
        <w:t>Sziszck;</w:t>
      </w:r>
      <w:r>
        <w:rPr>
          <w:rFonts w:ascii="Times New Roman" w:eastAsia="Times New Roman" w:hAnsi="Times New Roman" w:cs="Times New Roman"/>
          <w:color w:val="000000"/>
          <w:spacing w:val="0"/>
          <w:w w:val="100"/>
          <w:position w:val="0"/>
          <w:shd w:val="clear" w:color="auto" w:fill="auto"/>
          <w:lang w:val="en-US" w:eastAsia="en-US" w:bidi="en-US"/>
        </w:rPr>
        <w:t xml:space="preserve"> Croatian, </w:t>
      </w:r>
      <w:r>
        <w:rPr>
          <w:rFonts w:ascii="Times New Roman" w:eastAsia="Times New Roman" w:hAnsi="Times New Roman" w:cs="Times New Roman"/>
          <w:i/>
          <w:iCs/>
          <w:color w:val="000000"/>
          <w:spacing w:val="0"/>
          <w:w w:val="100"/>
          <w:position w:val="0"/>
          <w:shd w:val="clear" w:color="auto" w:fill="auto"/>
          <w:lang w:val="en-US" w:eastAsia="en-US" w:bidi="en-US"/>
        </w:rPr>
        <w:t>Sisak),</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Croatia-Slavonia, in the county of </w:t>
      </w:r>
      <w:r>
        <w:rPr>
          <w:rFonts w:ascii="Times New Roman" w:eastAsia="Times New Roman" w:hAnsi="Times New Roman" w:cs="Times New Roman"/>
          <w:color w:val="000000"/>
          <w:spacing w:val="0"/>
          <w:w w:val="100"/>
          <w:position w:val="0"/>
          <w:shd w:val="clear" w:color="auto" w:fill="auto"/>
          <w:lang w:val="de-DE" w:eastAsia="de-DE" w:bidi="de-DE"/>
        </w:rPr>
        <w:t xml:space="preserve">Agram; </w:t>
      </w:r>
      <w:r>
        <w:rPr>
          <w:rFonts w:ascii="Times New Roman" w:eastAsia="Times New Roman" w:hAnsi="Times New Roman" w:cs="Times New Roman"/>
          <w:color w:val="000000"/>
          <w:spacing w:val="0"/>
          <w:w w:val="100"/>
          <w:position w:val="0"/>
          <w:shd w:val="clear" w:color="auto" w:fill="auto"/>
          <w:lang w:val="en-US" w:eastAsia="en-US" w:bidi="en-US"/>
        </w:rPr>
        <w:t xml:space="preserve">situated at the confluence of the Save and Kulpa, 30 m. by rail S.E. by S. of </w:t>
      </w:r>
      <w:r>
        <w:rPr>
          <w:rFonts w:ascii="Times New Roman" w:eastAsia="Times New Roman" w:hAnsi="Times New Roman" w:cs="Times New Roman"/>
          <w:color w:val="000000"/>
          <w:spacing w:val="0"/>
          <w:w w:val="100"/>
          <w:position w:val="0"/>
          <w:shd w:val="clear" w:color="auto" w:fill="auto"/>
          <w:lang w:val="de-DE" w:eastAsia="de-DE" w:bidi="de-DE"/>
        </w:rPr>
        <w:t xml:space="preserve">Agram. </w:t>
      </w:r>
      <w:r>
        <w:rPr>
          <w:rFonts w:ascii="Times New Roman" w:eastAsia="Times New Roman" w:hAnsi="Times New Roman" w:cs="Times New Roman"/>
          <w:color w:val="000000"/>
          <w:spacing w:val="0"/>
          <w:w w:val="100"/>
          <w:position w:val="0"/>
          <w:shd w:val="clear" w:color="auto" w:fill="auto"/>
          <w:lang w:val="en-US" w:eastAsia="en-US" w:bidi="en-US"/>
        </w:rPr>
        <w:t>Pop. (1900) 7047. Sissek has a considerable trade in grain and timber. Its only noteworthy building is an ancient castle, constructed of brick.</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vestiges of its Roman walls tend to prove, Sissek was a large and flourishing city under Roman rule. Augustus made it</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