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vii. ;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 M'Carthy,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Surveying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and Exploring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Siam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1900); Henri Mouhot,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Travels in Indo-China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1844); F. A. Neale,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Narrative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Residence in Siam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1852); Sir H. Norman,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Far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East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1904); Bishop Pallegoix,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Description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du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royaume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Thai ou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Siam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(Paris, 1854);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 Smythe,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Five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Years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Siam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(London, 1898); J. Thomson,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Antiquities of Cambodia, Malacca,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Indo-China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and China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1875); P. A. Thompson,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Lotus 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1906); Turpin,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 Siam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(Paris, 1719);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Vincent,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Land of the White Elephant;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 Young,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The Kingdom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Yellow Robe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(London, </w:t>
      </w:r>
      <w:r>
        <w:rPr>
          <w:rFonts w:ascii="Times New Roman" w:eastAsia="Times New Roman" w:hAnsi="Times New Roman" w:cs="Times New Roman"/>
          <w:color w:val="000000"/>
          <w:spacing w:val="0"/>
          <w:w w:val="100"/>
          <w:position w:val="0"/>
          <w:sz w:val="18"/>
          <w:szCs w:val="18"/>
          <w:shd w:val="clear" w:color="auto" w:fill="auto"/>
          <w:lang w:val="en-US" w:eastAsia="en-US" w:bidi="en-US"/>
        </w:rPr>
        <w:t>1898).</w:t>
      </w:r>
    </w:p>
    <w:p>
      <w:pPr>
        <w:pStyle w:val="Style3"/>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Language </w:t>
      </w:r>
      <w:r>
        <w:rPr>
          <w:rFonts w:ascii="Times New Roman" w:eastAsia="Times New Roman" w:hAnsi="Times New Roman" w:cs="Times New Roman"/>
          <w:i/>
          <w:iCs/>
          <w:color w:val="000000"/>
          <w:spacing w:val="0"/>
          <w:w w:val="100"/>
          <w:position w:val="0"/>
          <w:shd w:val="clear" w:color="auto" w:fill="auto"/>
          <w:lang w:val="en-US" w:eastAsia="en-US" w:bidi="en-US"/>
        </w:rPr>
        <w:t>and Literature.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Siamese belongs to the well-defined Tai group of the Siamese- Chinese family of </w:t>
      </w:r>
      <w:r>
        <w:rPr>
          <w:rFonts w:ascii="Times New Roman" w:eastAsia="Times New Roman" w:hAnsi="Times New Roman" w:cs="Times New Roman"/>
          <w:color w:val="000000"/>
          <w:spacing w:val="0"/>
          <w:w w:val="100"/>
          <w:position w:val="0"/>
          <w:shd w:val="clear" w:color="auto" w:fill="auto"/>
          <w:lang w:val="en-US" w:eastAsia="en-US" w:bidi="en-US"/>
        </w:rPr>
        <w:t xml:space="preserve">languages. </w:t>
      </w:r>
      <w:r>
        <w:rPr>
          <w:rFonts w:ascii="Times New Roman" w:eastAsia="Times New Roman" w:hAnsi="Times New Roman" w:cs="Times New Roman"/>
          <w:color w:val="000000"/>
          <w:spacing w:val="0"/>
          <w:w w:val="100"/>
          <w:position w:val="0"/>
          <w:shd w:val="clear" w:color="auto" w:fill="auto"/>
          <w:lang w:val="en-US" w:eastAsia="en-US" w:bidi="en-US"/>
        </w:rPr>
        <w:t xml:space="preserve">Its connexion with Chinese is clear though evidently </w:t>
      </w:r>
      <w:r>
        <w:rPr>
          <w:rFonts w:ascii="Times New Roman" w:eastAsia="Times New Roman" w:hAnsi="Times New Roman" w:cs="Times New Roman"/>
          <w:color w:val="000000"/>
          <w:spacing w:val="0"/>
          <w:w w:val="100"/>
          <w:position w:val="0"/>
          <w:shd w:val="clear" w:color="auto" w:fill="auto"/>
          <w:lang w:val="en-US" w:eastAsia="en-US" w:bidi="en-US"/>
        </w:rPr>
        <w:t xml:space="preserve">distant, </w:t>
      </w:r>
      <w:r>
        <w:rPr>
          <w:rFonts w:ascii="Times New Roman" w:eastAsia="Times New Roman" w:hAnsi="Times New Roman" w:cs="Times New Roman"/>
          <w:color w:val="000000"/>
          <w:spacing w:val="0"/>
          <w:w w:val="100"/>
          <w:position w:val="0"/>
          <w:shd w:val="clear" w:color="auto" w:fill="auto"/>
          <w:lang w:val="en-US" w:eastAsia="en-US" w:bidi="en-US"/>
        </w:rPr>
        <w:t xml:space="preserve">but its relationship with the other languages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Tai group is very close. It is spoken throughout central Siam, in all parts of southern Siam except Patani Monton,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northern Siam along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river-banks as far up as Utaradit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Raheng, and in </w:t>
      </w:r>
      <w:r>
        <w:rPr>
          <w:rFonts w:ascii="Times New Roman" w:eastAsia="Times New Roman" w:hAnsi="Times New Roman" w:cs="Times New Roman"/>
          <w:color w:val="000000"/>
          <w:spacing w:val="0"/>
          <w:w w:val="100"/>
          <w:position w:val="0"/>
          <w:shd w:val="clear" w:color="auto" w:fill="auto"/>
          <w:lang w:val="en-US" w:eastAsia="en-US" w:bidi="en-US"/>
        </w:rPr>
        <w:t xml:space="preserve">eastern </w:t>
      </w:r>
      <w:r>
        <w:rPr>
          <w:rFonts w:ascii="Times New Roman" w:eastAsia="Times New Roman" w:hAnsi="Times New Roman" w:cs="Times New Roman"/>
          <w:color w:val="000000"/>
          <w:spacing w:val="0"/>
          <w:w w:val="100"/>
          <w:position w:val="0"/>
          <w:shd w:val="clear" w:color="auto" w:fill="auto"/>
          <w:lang w:val="en-US" w:eastAsia="en-US" w:bidi="en-US"/>
        </w:rPr>
        <w:t xml:space="preserve">Siam as far as the confines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Korat Monton. In </w:t>
      </w:r>
      <w:r>
        <w:rPr>
          <w:rFonts w:ascii="Times New Roman" w:eastAsia="Times New Roman" w:hAnsi="Times New Roman" w:cs="Times New Roman"/>
          <w:color w:val="000000"/>
          <w:spacing w:val="0"/>
          <w:w w:val="100"/>
          <w:position w:val="0"/>
          <w:shd w:val="clear" w:color="auto" w:fill="auto"/>
          <w:lang w:val="en-US" w:eastAsia="en-US" w:bidi="en-US"/>
        </w:rPr>
        <w:t xml:space="preserve">Patani the </w:t>
      </w:r>
      <w:r>
        <w:rPr>
          <w:rFonts w:ascii="Times New Roman" w:eastAsia="Times New Roman" w:hAnsi="Times New Roman" w:cs="Times New Roman"/>
          <w:color w:val="000000"/>
          <w:spacing w:val="0"/>
          <w:w w:val="100"/>
          <w:position w:val="0"/>
          <w:shd w:val="clear" w:color="auto" w:fill="auto"/>
          <w:lang w:val="en-US" w:eastAsia="en-US" w:bidi="en-US"/>
        </w:rPr>
        <w:t xml:space="preserve">common language is still Malay, while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upper </w:t>
      </w:r>
      <w:r>
        <w:rPr>
          <w:rFonts w:ascii="Times New Roman" w:eastAsia="Times New Roman" w:hAnsi="Times New Roman" w:cs="Times New Roman"/>
          <w:color w:val="000000"/>
          <w:spacing w:val="0"/>
          <w:w w:val="100"/>
          <w:position w:val="0"/>
          <w:shd w:val="clear" w:color="auto" w:fill="auto"/>
          <w:lang w:val="en-US" w:eastAsia="en-US" w:bidi="en-US"/>
        </w:rPr>
        <w:t xml:space="preserve">parts of </w:t>
      </w:r>
      <w:r>
        <w:rPr>
          <w:rFonts w:ascii="Times New Roman" w:eastAsia="Times New Roman" w:hAnsi="Times New Roman" w:cs="Times New Roman"/>
          <w:color w:val="000000"/>
          <w:spacing w:val="0"/>
          <w:w w:val="100"/>
          <w:position w:val="0"/>
          <w:shd w:val="clear" w:color="auto" w:fill="auto"/>
          <w:lang w:val="en-US" w:eastAsia="en-US" w:bidi="en-US"/>
        </w:rPr>
        <w:t xml:space="preserve">northern, and the outlying </w:t>
      </w:r>
      <w:r>
        <w:rPr>
          <w:rFonts w:ascii="Times New Roman" w:eastAsia="Times New Roman" w:hAnsi="Times New Roman" w:cs="Times New Roman"/>
          <w:color w:val="000000"/>
          <w:spacing w:val="0"/>
          <w:w w:val="100"/>
          <w:position w:val="0"/>
          <w:shd w:val="clear" w:color="auto" w:fill="auto"/>
          <w:lang w:val="en-US" w:eastAsia="en-US" w:bidi="en-US"/>
        </w:rPr>
        <w:t xml:space="preserve">parts of </w:t>
      </w:r>
      <w:r>
        <w:rPr>
          <w:rFonts w:ascii="Times New Roman" w:eastAsia="Times New Roman" w:hAnsi="Times New Roman" w:cs="Times New Roman"/>
          <w:color w:val="000000"/>
          <w:spacing w:val="0"/>
          <w:w w:val="100"/>
          <w:position w:val="0"/>
          <w:shd w:val="clear" w:color="auto" w:fill="auto"/>
          <w:lang w:val="en-US" w:eastAsia="en-US" w:bidi="en-US"/>
        </w:rPr>
        <w:t xml:space="preserve">eastern, Siam </w:t>
      </w:r>
      <w:r>
        <w:rPr>
          <w:rFonts w:ascii="Times New Roman" w:eastAsia="Times New Roman" w:hAnsi="Times New Roman" w:cs="Times New Roman"/>
          <w:color w:val="000000"/>
          <w:spacing w:val="0"/>
          <w:w w:val="100"/>
          <w:position w:val="0"/>
          <w:shd w:val="clear" w:color="auto" w:fill="auto"/>
          <w:lang w:val="en-US" w:eastAsia="en-US" w:bidi="en-US"/>
        </w:rPr>
        <w:t xml:space="preserve">the prevailing </w:t>
      </w:r>
      <w:r>
        <w:rPr>
          <w:rFonts w:ascii="Times New Roman" w:eastAsia="Times New Roman" w:hAnsi="Times New Roman" w:cs="Times New Roman"/>
          <w:color w:val="000000"/>
          <w:spacing w:val="0"/>
          <w:w w:val="100"/>
          <w:position w:val="0"/>
          <w:shd w:val="clear" w:color="auto" w:fill="auto"/>
          <w:lang w:val="en-US" w:eastAsia="en-US" w:bidi="en-US"/>
        </w:rPr>
        <w:t xml:space="preserve">language is Lao, though the many hill tribes which </w:t>
      </w:r>
      <w:r>
        <w:rPr>
          <w:rFonts w:ascii="Times New Roman" w:eastAsia="Times New Roman" w:hAnsi="Times New Roman" w:cs="Times New Roman"/>
          <w:color w:val="000000"/>
          <w:spacing w:val="0"/>
          <w:w w:val="100"/>
          <w:position w:val="0"/>
          <w:shd w:val="clear" w:color="auto" w:fill="auto"/>
          <w:lang w:val="en-US" w:eastAsia="en-US" w:bidi="en-US"/>
        </w:rPr>
        <w:t xml:space="preserve">occupy the ranges </w:t>
      </w:r>
      <w:r>
        <w:rPr>
          <w:rFonts w:ascii="Times New Roman" w:eastAsia="Times New Roman" w:hAnsi="Times New Roman" w:cs="Times New Roman"/>
          <w:color w:val="000000"/>
          <w:spacing w:val="0"/>
          <w:w w:val="100"/>
          <w:position w:val="0"/>
          <w:shd w:val="clear" w:color="auto" w:fill="auto"/>
          <w:lang w:val="en-US" w:eastAsia="en-US" w:bidi="en-US"/>
        </w:rPr>
        <w:t>of these parts have distinct languages of their own.</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Originally Siamese was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purely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monosyllabic, that is, each true word consisted of a single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vowel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sound preceded by, or followed by, a consonant. Of such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monosyllables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there are less than two thousand, and therefore many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syllables have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do duty for the expression of more than one idea,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confusion being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avoided bγ the tone in which they are spoken, whence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term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“tonal,” which is applied to all the languages of this family. The language now consists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about 15,000 words, of which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compounds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two monosyllabic words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appropriations from foreign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sources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form a very large part. Bali, the ancient language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kingdom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Magadha, in which the sacred writings of Buddhism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were made,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was largely instrumental in forming all the languages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Further </w:t>
      </w:r>
      <w:r>
        <w:rPr>
          <w:rFonts w:ascii="Times New Roman" w:eastAsia="Times New Roman" w:hAnsi="Times New Roman" w:cs="Times New Roman"/>
          <w:color w:val="000000"/>
          <w:spacing w:val="0"/>
          <w:w w:val="100"/>
          <w:position w:val="0"/>
          <w:sz w:val="18"/>
          <w:szCs w:val="18"/>
          <w:shd w:val="clear" w:color="auto" w:fill="auto"/>
          <w:lang w:val="en-US" w:eastAsia="en-US" w:bidi="en-US"/>
        </w:rPr>
        <w:t>India, including Siamese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fact which accounts for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numerous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connecting links between the Môn, Burmese and Siamese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languages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present time, though these are of quite separate origin. When intercourse with the West began, and more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especially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when Western methods of government and education were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first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adopted in Siam, the tendency to utilize European words was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very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marked, but recently there has been an effort to avoid this by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coining of Siamese or Bali compound words.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current Siamese characters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are derived </w:t>
      </w:r>
      <w:r>
        <w:rPr>
          <w:rFonts w:ascii="Times New Roman" w:eastAsia="Times New Roman" w:hAnsi="Times New Roman" w:cs="Times New Roman"/>
          <w:color w:val="000000"/>
          <w:spacing w:val="0"/>
          <w:w w:val="100"/>
          <w:position w:val="0"/>
          <w:sz w:val="18"/>
          <w:szCs w:val="18"/>
          <w:shd w:val="clear" w:color="auto" w:fill="auto"/>
          <w:lang w:val="en-US" w:eastAsia="en-US" w:bidi="en-US"/>
        </w:rPr>
        <w:t>from the more monu</w:t>
        <w:softHyphen/>
        <w:t xml:space="preserve">mental Cambodian alphabet, which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again owes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its origin to the alphabet of the inscriptions, 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offshoot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character found on the stone monuments of southern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India in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6th and 8th centuries. The sacred books of Siam 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still </w:t>
      </w:r>
      <w:r>
        <w:rPr>
          <w:rFonts w:ascii="Times New Roman" w:eastAsia="Times New Roman" w:hAnsi="Times New Roman" w:cs="Times New Roman"/>
          <w:color w:val="000000"/>
          <w:spacing w:val="0"/>
          <w:w w:val="100"/>
          <w:position w:val="0"/>
          <w:sz w:val="18"/>
          <w:szCs w:val="18"/>
          <w:shd w:val="clear" w:color="auto" w:fill="auto"/>
          <w:lang w:val="en-US" w:eastAsia="en-US" w:bidi="en-US"/>
        </w:rPr>
        <w:t>written in the Cambodian character.</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Siamese alphabet consists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44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consonants, in each of which the vowel sound “ aw ” is inherent, and of 52 vowels all marked not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8"/>
          <w:szCs w:val="18"/>
          <w:shd w:val="clear" w:color="auto" w:fill="auto"/>
          <w:lang w:val="en-US" w:eastAsia="en-US" w:bidi="en-US"/>
        </w:rPr>
        <w:t>individual letters, but by signs written above, below, before or after the consonant in connexion with which they are to be pro</w:t>
        <w:softHyphen/>
        <w:t xml:space="preserve">nounced. ft may seem at first that so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many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44 consonants can scarcely be necessary, but the explanation is that several of them express each a slightly different intonation of what is practically the same consonant, the sound of “ kh,”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w:t>
      </w:r>
      <w:r>
        <w:rPr>
          <w:rFonts w:ascii="Times New Roman" w:eastAsia="Times New Roman" w:hAnsi="Times New Roman" w:cs="Times New Roman"/>
          <w:color w:val="000000"/>
          <w:spacing w:val="0"/>
          <w:w w:val="100"/>
          <w:position w:val="0"/>
          <w:sz w:val="18"/>
          <w:szCs w:val="18"/>
          <w:shd w:val="clear" w:color="auto" w:fill="auto"/>
          <w:lang w:val="en-US" w:eastAsia="en-US" w:bidi="en-US"/>
        </w:rPr>
        <w:t>instance, being repre</w:t>
        <w:softHyphen/>
        <w:t xml:space="preserve">sented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six different letters and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sound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by eight. More</w:t>
        <w:softHyphen/>
        <w:t xml:space="preserve">over,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other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letters are present only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use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certain words imported from Bali or Sanskrit. The vowel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signs </w:t>
      </w:r>
      <w:r>
        <w:rPr>
          <w:rFonts w:ascii="Times New Roman" w:eastAsia="Times New Roman" w:hAnsi="Times New Roman" w:cs="Times New Roman"/>
          <w:color w:val="000000"/>
          <w:spacing w:val="0"/>
          <w:w w:val="100"/>
          <w:position w:val="0"/>
          <w:sz w:val="18"/>
          <w:szCs w:val="18"/>
          <w:shd w:val="clear" w:color="auto" w:fill="auto"/>
          <w:lang w:val="en-US" w:eastAsia="en-US" w:bidi="en-US"/>
        </w:rPr>
        <w:t>have.no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sound by them</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selves,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act upon the vowel sound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aw ” </w:t>
      </w:r>
      <w:r>
        <w:rPr>
          <w:rFonts w:ascii="Times New Roman" w:eastAsia="Times New Roman" w:hAnsi="Times New Roman" w:cs="Times New Roman"/>
          <w:color w:val="000000"/>
          <w:spacing w:val="0"/>
          <w:w w:val="100"/>
          <w:position w:val="0"/>
          <w:sz w:val="18"/>
          <w:szCs w:val="18"/>
          <w:shd w:val="clear" w:color="auto" w:fill="auto"/>
          <w:lang w:val="en-US" w:eastAsia="en-US" w:bidi="en-US"/>
        </w:rPr>
        <w:t>inherent in the con</w:t>
        <w:softHyphen/>
        <w:t xml:space="preserve">sonants, converting it into “ 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 "ee,”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ow,” &amp;c.. Each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signs has a name, and some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produce modulations so closely resembling those made by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another that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the present day they are scarcely to be distinguished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apart.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hard-and-fast rule of pronunciation is that only vowel or diphthong sounds, or the letters “ m,” </w:t>
      </w:r>
      <w:r>
        <w:rPr>
          <w:rFonts w:ascii="Times New Roman" w:eastAsia="Times New Roman" w:hAnsi="Times New Roman" w:cs="Times New Roman"/>
          <w:color w:val="000000"/>
          <w:spacing w:val="0"/>
          <w:w w:val="100"/>
          <w:position w:val="0"/>
          <w:sz w:val="18"/>
          <w:szCs w:val="18"/>
          <w:shd w:val="clear" w:color="auto" w:fill="auto"/>
          <w:lang w:val="en-US" w:eastAsia="en-US" w:bidi="en-US"/>
        </w:rPr>
        <w:t>“ n</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ng,” “ k,” “ 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 ” are permissible at the end of words, and hence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final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letter of all words ending in anything else is simply suppressed or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pronounced as though it were a letter naturally producing one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other of those sounds. Thus many of the words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procured from </w:t>
      </w:r>
      <w:r>
        <w:rPr>
          <w:rFonts w:ascii="Times New Roman" w:eastAsia="Times New Roman" w:hAnsi="Times New Roman" w:cs="Times New Roman"/>
          <w:color w:val="000000"/>
          <w:spacing w:val="0"/>
          <w:w w:val="100"/>
          <w:position w:val="0"/>
          <w:sz w:val="18"/>
          <w:szCs w:val="18"/>
          <w:shd w:val="clear" w:color="auto" w:fill="auto"/>
          <w:lang w:val="en-US" w:eastAsia="en-US" w:bidi="en-US"/>
        </w:rPr>
        <w:t>foreign sources, not ex</w:t>
        <w:softHyphen/>
        <w:t xml:space="preserve">cluding Bali and Sanskrit, 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more or less </w:t>
      </w:r>
      <w:r>
        <w:rPr>
          <w:rFonts w:ascii="Times New Roman" w:eastAsia="Times New Roman" w:hAnsi="Times New Roman" w:cs="Times New Roman"/>
          <w:color w:val="000000"/>
          <w:spacing w:val="0"/>
          <w:w w:val="100"/>
          <w:position w:val="0"/>
          <w:sz w:val="18"/>
          <w:szCs w:val="18"/>
          <w:shd w:val="clear" w:color="auto" w:fill="auto"/>
          <w:lang w:val="en-US" w:eastAsia="en-US" w:bidi="en-US"/>
        </w:rPr>
        <w:t>mutilated, in pronuncia</w:t>
        <w:softHyphen/>
        <w:t xml:space="preserve">tion, though the entirely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suppressed or altered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letter is still retained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writing.</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Siamese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written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from left to right.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manuscript there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usually no space between words, but punctuation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expressed </w:t>
      </w:r>
      <w:r>
        <w:rPr>
          <w:rFonts w:ascii="Times New Roman" w:eastAsia="Times New Roman" w:hAnsi="Times New Roman" w:cs="Times New Roman"/>
          <w:color w:val="000000"/>
          <w:spacing w:val="0"/>
          <w:w w:val="100"/>
          <w:position w:val="0"/>
          <w:sz w:val="18"/>
          <w:szCs w:val="18"/>
          <w:shd w:val="clear" w:color="auto" w:fill="auto"/>
          <w:lang w:val="en-US" w:eastAsia="en-US" w:bidi="en-US"/>
        </w:rPr>
        <w:t>by intervals isolating phrases and sentences.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greatest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difficulty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with the Siamese language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lies in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tonal system.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simple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tones there are five—the even,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circumflex, the descending,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grave and the high—any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one of. which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applied to a word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give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a quite distinct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meaning. Four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simple tones 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marked in the written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character by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signs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placed over the consonant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affected, and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absence of a mark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implies that the one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remaining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tone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be used.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complication 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caused by the fact that the consonants 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grouped into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three </w:t>
      </w:r>
      <w:r>
        <w:rPr>
          <w:rFonts w:ascii="Times New Roman" w:eastAsia="Times New Roman" w:hAnsi="Times New Roman" w:cs="Times New Roman"/>
          <w:color w:val="000000"/>
          <w:spacing w:val="0"/>
          <w:w w:val="100"/>
          <w:position w:val="0"/>
          <w:sz w:val="18"/>
          <w:szCs w:val="18"/>
          <w:shd w:val="clear" w:color="auto" w:fill="auto"/>
          <w:lang w:val="en-US" w:eastAsia="en-US" w:bidi="en-US"/>
        </w:rPr>
        <w:t>classes, to each of which a special tone applies, and consequently the application of a tonal sign to a letter has a different effect, accord</w:t>
        <w:softHyphen/>
        <w:t xml:space="preserve">ing to the class to which such letter belongs. Though many syllables have to do duty for the expression of more than one idea, the majority have only one or at most two meanings, but there are some which are used with quite a number of different inflections, each of which gives the word a new meaning. Thus, for example, the syllable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khao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may mean “ they,” “ badly,” “ rice,” “ white,” “old,” or “ news,” simply according to the tone in which the word is spoken. Words are unchangeable and incapable of inflection. There is no article, and no distinction of gender, number or case. These, when it is necessary to denote them, are expressed by ex</w:t>
        <w:softHyphen/>
        <w:t>planatory words after the respective nouns; only the dative and ablative are denoted by subsidiary words, which precede the nouns, the nominative being marked by its position before, the objective by its position after, the verb, and the genitive (and also the ad</w:t>
        <w:softHyphen/>
        <w:t>jective) by. its place after the noun it qualifies. Occasionally, how</w:t>
        <w:softHyphen/>
        <w:t xml:space="preserve">ever, auxiliary nouns serve that purpose. Words like “ mother,” “ son,” .“ water ” are often employed in forming compounds to express ideas for which the Siamese have no single words,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 lûk cân,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son of hire,” a labourer;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mêmü,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mother of the hand,” the thumb. The use of class words with numerals obtains in Siamese as it does in Chinese, Burmese, Anamese, Malay and many other Eastern languages. As in these, so in Siamese the personal pronouns are mostly represented by nouns expressive of the various shades of superior or lower rank according to Eastern etiquette. The verb is, like the noun, perfectly colourless—person, number, tense and mood being indicated by auxiliary words only when they cannot be inferred from the context. Such auxiliary words are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yu,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be,” “to dwell” (present);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dai,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have,”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leas,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end ” (past);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că,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also ” (future); the first and third follow, the second and fourth precede, the verb.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Hài,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give ” (prefixed), often indicates the subjunctive. As there are compound nouns, so there are compound verbs; thus,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 pai,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to go,” is joined to a transitive verb to convert it into an intransitive or neuter;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thûk,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to touch,”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tòng,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be compelled,” serve to form a sort of passive voice. The number of adverbs, single and compound, is very large. The prepositions mostly consist of nouns.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construction of the sentence in Siamese is straightforward and simple. The subject of the sentence precedes the verb and the object follows it. The possessive pronoun follows the object. The adverb usually follows the verb. In compound sentences the verbs are placed together as in English, not separated by the object as in German.. When an action is expressed in the past the word which forms with the verb the past tense is divided from the verb itself by the object. Examples are:—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Rao (We) dekchai (boy) sam (three) kon (persons) cha (will) pai (go) chap (catch) pla (fish) samrap (for) hài (give) paw (father) kin (eat).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Me (Mother) tan (you) yu (live) ti (place) nai (where), or “ Where is your mother?”</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Mè (Mother) pai (go) talat (bazaar) leao (finish), or “ (My) mother has gone to the bazaar.”</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difficulties of the Siamese language are increased by the fact that in addition to the ordinary language of the people there is a completely different set of words ordained for the use. of royalty. This “ Palace language ” appears to have come into existence from a desire to avoid the employment in the presence of royalty of downright expressions of vulgarity or of words which might be capable of conveying an unpleasant or indelicate idea other than the meaning intended. In the effort to escape from the vulgar, words of Sanskrit origin have been freely adopted and many Cam</w:t>
        <w:softHyphen/>
        <w:t>bodian. words are also used. The language is so complete that the dog, pig, crow and other common or unclean animals are all ex</w:t>
        <w:softHyphen/>
        <w:t>pressed by special words, while the actions of royalty, such as eating, sleeping, walking, speaking, bathing, dying, are spoken of in words quite distinct from those used to describe similar actions of ordinary people.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prose literature of Siam consists largely of mythological and historical fables, almost all of which are of Indian origin, though many of them have come to Siam through Cambodia. Their number is larger than is usually supposed, many of them being known to few beyond the writers who laboriously copy them and the professional “ raconteurs ” who draw upon them to replenish their stock-in-trade. The best known have all been made into stage-plays, and it is in this form that they usually come before the notice of the general public. Amongst them are </w:t>
      </w:r>
      <w:r>
        <w:rPr>
          <w:rFonts w:ascii="Times New Roman" w:eastAsia="Times New Roman" w:hAnsi="Times New Roman" w:cs="Times New Roman"/>
          <w:i/>
          <w:iCs/>
          <w:color w:val="000000"/>
          <w:spacing w:val="0"/>
          <w:w w:val="100"/>
          <w:position w:val="0"/>
          <w:shd w:val="clear" w:color="auto" w:fill="auto"/>
          <w:lang w:val="en-US" w:eastAsia="en-US" w:bidi="en-US"/>
        </w:rPr>
        <w:t>Ramakien,</w:t>
      </w:r>
      <w:r>
        <w:rPr>
          <w:rFonts w:ascii="Times New Roman" w:eastAsia="Times New Roman" w:hAnsi="Times New Roman" w:cs="Times New Roman"/>
          <w:color w:val="000000"/>
          <w:spacing w:val="0"/>
          <w:w w:val="100"/>
          <w:position w:val="0"/>
          <w:shd w:val="clear" w:color="auto" w:fill="auto"/>
          <w:lang w:val="en-US" w:eastAsia="en-US" w:bidi="en-US"/>
        </w:rPr>
        <w:t xml:space="preserve"> taken from the great Hindu epic </w:t>
      </w:r>
      <w:r>
        <w:rPr>
          <w:rFonts w:ascii="Times New Roman" w:eastAsia="Times New Roman" w:hAnsi="Times New Roman" w:cs="Times New Roman"/>
          <w:i/>
          <w:iCs/>
          <w:color w:val="000000"/>
          <w:spacing w:val="0"/>
          <w:w w:val="100"/>
          <w:position w:val="0"/>
          <w:shd w:val="clear" w:color="auto" w:fill="auto"/>
          <w:lang w:val="en-US" w:eastAsia="en-US" w:bidi="en-US"/>
        </w:rPr>
        <w:t>Ramayana; Wetyasunyin,</w:t>
      </w:r>
      <w:r>
        <w:rPr>
          <w:rFonts w:ascii="Times New Roman" w:eastAsia="Times New Roman" w:hAnsi="Times New Roman" w:cs="Times New Roman"/>
          <w:color w:val="000000"/>
          <w:spacing w:val="0"/>
          <w:w w:val="100"/>
          <w:position w:val="0"/>
          <w:shd w:val="clear" w:color="auto" w:fill="auto"/>
          <w:lang w:val="en-US" w:eastAsia="en-US" w:bidi="en-US"/>
        </w:rPr>
        <w:t xml:space="preserve"> the tale of a king who became an ascetic after contemplation of a withered tree; </w:t>
      </w:r>
      <w:r>
        <w:rPr>
          <w:rFonts w:ascii="Times New Roman" w:eastAsia="Times New Roman" w:hAnsi="Times New Roman" w:cs="Times New Roman"/>
          <w:i/>
          <w:iCs/>
          <w:color w:val="000000"/>
          <w:spacing w:val="0"/>
          <w:w w:val="100"/>
          <w:position w:val="0"/>
          <w:shd w:val="clear" w:color="auto" w:fill="auto"/>
          <w:lang w:val="en-US" w:eastAsia="en-US" w:bidi="en-US"/>
        </w:rPr>
        <w:t>Worawongs,</w:t>
      </w:r>
      <w:r>
        <w:rPr>
          <w:rFonts w:ascii="Times New Roman" w:eastAsia="Times New Roman" w:hAnsi="Times New Roman" w:cs="Times New Roman"/>
          <w:color w:val="000000"/>
          <w:spacing w:val="0"/>
          <w:w w:val="100"/>
          <w:position w:val="0"/>
          <w:shd w:val="clear" w:color="auto" w:fill="auto"/>
          <w:lang w:val="en-US" w:eastAsia="en-US" w:bidi="en-US"/>
        </w:rPr>
        <w:t xml:space="preserve"> the story of a prince who loved a princess and was killed by the thrust of a magic spear which guarded her; </w:t>
      </w:r>
      <w:r>
        <w:rPr>
          <w:rFonts w:ascii="Times New Roman" w:eastAsia="Times New Roman" w:hAnsi="Times New Roman" w:cs="Times New Roman"/>
          <w:i/>
          <w:iCs/>
          <w:color w:val="000000"/>
          <w:spacing w:val="0"/>
          <w:w w:val="100"/>
          <w:position w:val="0"/>
          <w:shd w:val="clear" w:color="auto" w:fill="auto"/>
          <w:lang w:val="en-US" w:eastAsia="en-US" w:bidi="en-US"/>
        </w:rPr>
        <w:t>Chalawan,</w:t>
      </w:r>
      <w:r>
        <w:rPr>
          <w:rFonts w:ascii="Times New Roman" w:eastAsia="Times New Roman" w:hAnsi="Times New Roman" w:cs="Times New Roman"/>
          <w:color w:val="000000"/>
          <w:spacing w:val="0"/>
          <w:w w:val="100"/>
          <w:position w:val="0"/>
          <w:shd w:val="clear" w:color="auto" w:fill="auto"/>
          <w:lang w:val="en-US" w:eastAsia="en-US" w:bidi="en-US"/>
        </w:rPr>
        <w:t xml:space="preserve"> the tale of a princess beloved by a crocodile; </w:t>
      </w:r>
      <w:r>
        <w:rPr>
          <w:rFonts w:ascii="Times New Roman" w:eastAsia="Times New Roman" w:hAnsi="Times New Roman" w:cs="Times New Roman"/>
          <w:i/>
          <w:iCs/>
          <w:color w:val="000000"/>
          <w:spacing w:val="0"/>
          <w:w w:val="100"/>
          <w:position w:val="0"/>
          <w:shd w:val="clear" w:color="auto" w:fill="auto"/>
          <w:lang w:val="en-US" w:eastAsia="en-US" w:bidi="en-US"/>
        </w:rPr>
        <w:t>Unarud,</w:t>
      </w:r>
      <w:r>
        <w:rPr>
          <w:rFonts w:ascii="Times New Roman" w:eastAsia="Times New Roman" w:hAnsi="Times New Roman" w:cs="Times New Roman"/>
          <w:color w:val="000000"/>
          <w:spacing w:val="0"/>
          <w:w w:val="100"/>
          <w:position w:val="0"/>
          <w:shd w:val="clear" w:color="auto" w:fill="auto"/>
          <w:lang w:val="en-US" w:eastAsia="en-US" w:bidi="en-US"/>
        </w:rPr>
        <w:t xml:space="preserve"> the life story of Anuruddha, a demigod, the grandson of Krishna; </w:t>
      </w:r>
      <w:r>
        <w:rPr>
          <w:rFonts w:ascii="Times New Roman" w:eastAsia="Times New Roman" w:hAnsi="Times New Roman" w:cs="Times New Roman"/>
          <w:i/>
          <w:iCs/>
          <w:color w:val="000000"/>
          <w:spacing w:val="0"/>
          <w:w w:val="100"/>
          <w:position w:val="0"/>
          <w:shd w:val="clear" w:color="auto" w:fill="auto"/>
          <w:lang w:val="en-US" w:eastAsia="en-US" w:bidi="en-US"/>
        </w:rPr>
        <w:t>Phumhon,</w:t>
      </w:r>
      <w:r>
        <w:rPr>
          <w:rFonts w:ascii="Times New Roman" w:eastAsia="Times New Roman" w:hAnsi="Times New Roman" w:cs="Times New Roman"/>
          <w:color w:val="000000"/>
          <w:spacing w:val="0"/>
          <w:w w:val="100"/>
          <w:position w:val="0"/>
          <w:shd w:val="clear" w:color="auto" w:fill="auto"/>
          <w:lang w:val="en-US" w:eastAsia="en-US" w:bidi="en-US"/>
        </w:rPr>
        <w:t xml:space="preserve"> the tale of a princess beloved by an elephant; </w:t>
      </w:r>
      <w:r>
        <w:rPr>
          <w:rFonts w:ascii="Times New Roman" w:eastAsia="Times New Roman" w:hAnsi="Times New Roman" w:cs="Times New Roman"/>
          <w:i/>
          <w:iCs/>
          <w:color w:val="000000"/>
          <w:spacing w:val="0"/>
          <w:w w:val="100"/>
          <w:position w:val="0"/>
          <w:shd w:val="clear" w:color="auto" w:fill="auto"/>
          <w:lang w:val="en-US" w:eastAsia="en-US" w:bidi="en-US"/>
        </w:rPr>
        <w:t>Prang tong,</w:t>
      </w:r>
      <w:r>
        <w:rPr>
          <w:rFonts w:ascii="Times New Roman" w:eastAsia="Times New Roman" w:hAnsi="Times New Roman" w:cs="Times New Roman"/>
          <w:color w:val="000000"/>
          <w:spacing w:val="0"/>
          <w:w w:val="100"/>
          <w:position w:val="0"/>
          <w:shd w:val="clear" w:color="auto" w:fill="auto"/>
          <w:lang w:val="en-US" w:eastAsia="en-US" w:bidi="en-US"/>
        </w:rPr>
        <w:t xml:space="preserve"> a story of a princess who before birth was promised to a “ yak ” or giant in</w:t>
      </w:r>
    </w:p>
    <w:sectPr>
      <w:footnotePr>
        <w:pos w:val="pageBottom"/>
        <w:numFmt w:val="decimal"/>
        <w:numRestart w:val="continuous"/>
      </w:footnotePr>
      <w:pgSz w:w="12240" w:h="15840"/>
      <w:pgMar w:top="967" w:left="936" w:right="851" w:bottom="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