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sarcophagi, which are now in the Imperial Museum at Constanti</w:t>
        <w:softHyphen/>
        <w:t>nople, were found, and the sarcophagi of the two Sidonian kings Eshmunazar (Louvre) and Tabnith (Imperial Museum, Con</w:t>
        <w:softHyphen/>
        <w:t>stantinople), both of them with important Phoenician inscriptions.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history of Sidon is discussed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Phoenicia.</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325 a bishop of Sidon attended the Council of Nicaea. In 637-638 the town was taken by the Arabs. During the Crusades it was alternately in the possession of the Franks and the Mahommedans, but finally fell into the hands of the latter in 1291. As the residence of the Druse Amir Fakhr ud-Din, it rose to some prosperity about the beginning of the 17th century, but towards the close of the 18th its commerce again passed away and has never returned. The biblical references to Sidon are Gen. x. 15 (the people), xlix. 13; Is. xxiii. 1-14; Ezek. xxvii. 8; Acts xxvii. 3. Sidon is nearly always mentioned along with Tyre—Jer. xxvii. 3, xlvii. 4; Ezra iii. 7; Joel iii. 4; Mark iii. 8 and Luke vi. 17; Mark vii. 24, 31, and Matt. xv. 21; Matt. xi. 21 and Luke x. 13 f. ; Acts xii. 20. In the Old Testa</w:t>
        <w:softHyphen/>
        <w:t xml:space="preserve">ment, as frequently in Greek literature, "Sidonians ” is used not in a local but in an ethnic sense, and means “ Phoenicians,” hence the name of Sidon was familiar to the Greeks earlier than that of Tyre, though the latter was the more important city (ed. Meyer, </w:t>
      </w:r>
      <w:r>
        <w:rPr>
          <w:rFonts w:ascii="Times New Roman" w:eastAsia="Times New Roman" w:hAnsi="Times New Roman" w:cs="Times New Roman"/>
          <w:i/>
          <w:iCs/>
          <w:color w:val="000000"/>
          <w:spacing w:val="0"/>
          <w:w w:val="100"/>
          <w:position w:val="0"/>
          <w:shd w:val="clear" w:color="auto" w:fill="auto"/>
          <w:lang w:val="en-US" w:eastAsia="en-US" w:bidi="en-US"/>
        </w:rPr>
        <w:t>Encycl. Bibl.</w:t>
      </w:r>
      <w:r>
        <w:rPr>
          <w:rFonts w:ascii="Times New Roman" w:eastAsia="Times New Roman" w:hAnsi="Times New Roman" w:cs="Times New Roman"/>
          <w:color w:val="000000"/>
          <w:spacing w:val="0"/>
          <w:w w:val="100"/>
          <w:position w:val="0"/>
          <w:shd w:val="clear" w:color="auto" w:fill="auto"/>
          <w:lang w:val="en-US" w:eastAsia="en-US" w:bidi="en-US"/>
        </w:rPr>
        <w:t xml:space="preserve"> col. 4505).</w:t>
      </w:r>
    </w:p>
    <w:p>
      <w:pPr>
        <w:pStyle w:val="Style3"/>
        <w:keepNext w:val="0"/>
        <w:keepLines w:val="0"/>
        <w:widowControl w:val="0"/>
        <w:shd w:val="clear" w:color="auto" w:fill="auto"/>
        <w:tabs>
          <w:tab w:pos="4044" w:val="left"/>
        </w:tabs>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Robinson, </w:t>
      </w:r>
      <w:r>
        <w:rPr>
          <w:rFonts w:ascii="Times New Roman" w:eastAsia="Times New Roman" w:hAnsi="Times New Roman" w:cs="Times New Roman"/>
          <w:i/>
          <w:iCs/>
          <w:color w:val="000000"/>
          <w:spacing w:val="0"/>
          <w:w w:val="100"/>
          <w:position w:val="0"/>
          <w:shd w:val="clear" w:color="auto" w:fill="auto"/>
          <w:lang w:val="en-US" w:eastAsia="en-US" w:bidi="en-US"/>
        </w:rPr>
        <w:t>Bibl. Res.</w:t>
      </w:r>
      <w:r>
        <w:rPr>
          <w:rFonts w:ascii="Times New Roman" w:eastAsia="Times New Roman" w:hAnsi="Times New Roman" w:cs="Times New Roman"/>
          <w:color w:val="000000"/>
          <w:spacing w:val="0"/>
          <w:w w:val="100"/>
          <w:position w:val="0"/>
          <w:shd w:val="clear" w:color="auto" w:fill="auto"/>
          <w:lang w:val="en-US" w:eastAsia="en-US" w:bidi="en-US"/>
        </w:rPr>
        <w:t xml:space="preserve"> ii. 478 ff. ; Prutz, </w:t>
      </w:r>
      <w:r>
        <w:rPr>
          <w:rFonts w:ascii="Times New Roman" w:eastAsia="Times New Roman" w:hAnsi="Times New Roman" w:cs="Times New Roman"/>
          <w:i/>
          <w:iCs/>
          <w:color w:val="000000"/>
          <w:spacing w:val="0"/>
          <w:w w:val="100"/>
          <w:position w:val="0"/>
          <w:shd w:val="clear" w:color="auto" w:fill="auto"/>
          <w:lang w:val="en-US" w:eastAsia="en-US" w:bidi="en-US"/>
        </w:rPr>
        <w:t>Aus Phönicien</w:t>
      </w:r>
      <w:r>
        <w:rPr>
          <w:rFonts w:ascii="Times New Roman" w:eastAsia="Times New Roman" w:hAnsi="Times New Roman" w:cs="Times New Roman"/>
          <w:color w:val="000000"/>
          <w:spacing w:val="0"/>
          <w:w w:val="100"/>
          <w:position w:val="0"/>
          <w:shd w:val="clear" w:color="auto" w:fill="auto"/>
          <w:lang w:val="en-US" w:eastAsia="en-US" w:bidi="en-US"/>
        </w:rPr>
        <w:t xml:space="preserve"> (1876), 98 </w:t>
      </w:r>
      <w:r>
        <w:rPr>
          <w:rFonts w:ascii="Times New Roman" w:eastAsia="Times New Roman" w:hAnsi="Times New Roman" w:cs="Times New Roman"/>
          <w:color w:val="000000"/>
          <w:spacing w:val="0"/>
          <w:w w:val="100"/>
          <w:position w:val="0"/>
          <w:shd w:val="clear" w:color="auto" w:fill="auto"/>
          <w:lang w:val="de-DE" w:eastAsia="de-DE" w:bidi="de-DE"/>
        </w:rPr>
        <w:t xml:space="preserve">ff.; Pietschmann,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d. </w:t>
      </w:r>
      <w:r>
        <w:rPr>
          <w:rFonts w:ascii="Times New Roman" w:eastAsia="Times New Roman" w:hAnsi="Times New Roman" w:cs="Times New Roman"/>
          <w:i/>
          <w:iCs/>
          <w:color w:val="000000"/>
          <w:spacing w:val="0"/>
          <w:w w:val="100"/>
          <w:position w:val="0"/>
          <w:shd w:val="clear" w:color="auto" w:fill="auto"/>
          <w:lang w:val="de-DE" w:eastAsia="de-DE" w:bidi="de-DE"/>
        </w:rPr>
        <w:t>Phönizier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 53-58; Hamdy Bey and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Reinach,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Nécropole royale à </w:t>
      </w:r>
      <w:r>
        <w:rPr>
          <w:rFonts w:ascii="Times New Roman" w:eastAsia="Times New Roman" w:hAnsi="Times New Roman" w:cs="Times New Roman"/>
          <w:i/>
          <w:iCs/>
          <w:color w:val="000000"/>
          <w:spacing w:val="0"/>
          <w:w w:val="100"/>
          <w:position w:val="0"/>
          <w:shd w:val="clear" w:color="auto" w:fill="auto"/>
          <w:lang w:val="en-US" w:eastAsia="en-US" w:bidi="en-US"/>
        </w:rPr>
        <w:t>Sidon</w:t>
      </w:r>
      <w:r>
        <w:rPr>
          <w:rFonts w:ascii="Times New Roman" w:eastAsia="Times New Roman" w:hAnsi="Times New Roman" w:cs="Times New Roman"/>
          <w:color w:val="000000"/>
          <w:spacing w:val="0"/>
          <w:w w:val="100"/>
          <w:position w:val="0"/>
          <w:shd w:val="clear" w:color="auto" w:fill="auto"/>
          <w:lang w:val="en-US" w:eastAsia="en-US" w:bidi="en-US"/>
        </w:rPr>
        <w:t xml:space="preserve"> (1892-1896); A. Socin in Baedeker,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Pal. u. </w:t>
      </w:r>
      <w:r>
        <w:rPr>
          <w:rFonts w:ascii="Times New Roman" w:eastAsia="Times New Roman" w:hAnsi="Times New Roman" w:cs="Times New Roman"/>
          <w:i/>
          <w:iCs/>
          <w:color w:val="000000"/>
          <w:spacing w:val="0"/>
          <w:w w:val="100"/>
          <w:position w:val="0"/>
          <w:shd w:val="clear" w:color="auto" w:fill="auto"/>
          <w:lang w:val="fr-FR" w:eastAsia="fr-FR" w:bidi="fr-FR"/>
        </w:rPr>
        <w:t>Syrien.</w:t>
      </w:r>
      <w:r>
        <w:rPr>
          <w:rFonts w:ascii="Times New Roman" w:eastAsia="Times New Roman" w:hAnsi="Times New Roman" w:cs="Times New Roman"/>
          <w:color w:val="000000"/>
          <w:spacing w:val="0"/>
          <w:w w:val="100"/>
          <w:position w:val="0"/>
          <w:shd w:val="clear" w:color="auto" w:fill="auto"/>
          <w:lang w:val="fr-FR" w:eastAsia="fr-FR" w:bidi="fr-FR"/>
        </w:rPr>
        <w:tab/>
        <w:t xml:space="preserve">(G. </w:t>
      </w:r>
      <w:r>
        <w:rPr>
          <w:rFonts w:ascii="Times New Roman" w:eastAsia="Times New Roman" w:hAnsi="Times New Roman" w:cs="Times New Roman"/>
          <w:color w:val="000000"/>
          <w:spacing w:val="0"/>
          <w:w w:val="100"/>
          <w:position w:val="0"/>
          <w:shd w:val="clear" w:color="auto" w:fill="auto"/>
          <w:lang w:val="en-US" w:eastAsia="en-US" w:bidi="en-US"/>
        </w:rPr>
        <w:t>A. 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SIEBENGEBIRGE </w:t>
      </w:r>
      <w:r>
        <w:rPr>
          <w:rFonts w:ascii="Times New Roman" w:eastAsia="Times New Roman" w:hAnsi="Times New Roman" w:cs="Times New Roman"/>
          <w:color w:val="000000"/>
          <w:spacing w:val="0"/>
          <w:w w:val="100"/>
          <w:position w:val="0"/>
          <w:shd w:val="clear" w:color="auto" w:fill="auto"/>
          <w:lang w:val="en-US" w:eastAsia="en-US" w:bidi="en-US"/>
        </w:rPr>
        <w:t xml:space="preserve">(“The Seven Hills”), a cluster of hills in Germany, on the Rhine, 6 m. above Bonn. They are of volcanic origin, and form the north-western spurs of the </w:t>
      </w:r>
      <w:r>
        <w:rPr>
          <w:rFonts w:ascii="Times New Roman" w:eastAsia="Times New Roman" w:hAnsi="Times New Roman" w:cs="Times New Roman"/>
          <w:color w:val="000000"/>
          <w:spacing w:val="0"/>
          <w:w w:val="100"/>
          <w:position w:val="0"/>
          <w:shd w:val="clear" w:color="auto" w:fill="auto"/>
          <w:lang w:val="de-DE" w:eastAsia="de-DE" w:bidi="de-DE"/>
        </w:rPr>
        <w:t xml:space="preserve">Westerwald. </w:t>
      </w:r>
      <w:r>
        <w:rPr>
          <w:rFonts w:ascii="Times New Roman" w:eastAsia="Times New Roman" w:hAnsi="Times New Roman" w:cs="Times New Roman"/>
          <w:color w:val="000000"/>
          <w:spacing w:val="0"/>
          <w:w w:val="100"/>
          <w:position w:val="0"/>
          <w:shd w:val="clear" w:color="auto" w:fill="auto"/>
          <w:lang w:val="en-US" w:eastAsia="en-US" w:bidi="en-US"/>
        </w:rPr>
        <w:t xml:space="preserve">In no part of the Rhine valley is the scenery more attractive; crag and forest, deep dells and gentle vine-clad slopes, ruined castles and extensive views over the broad Rhine and the plain beyond combine to render the Siebengebirge the most favourite tourist resort on the whole Rhine. The hills are as follows: the steep </w:t>
      </w:r>
      <w:r>
        <w:rPr>
          <w:rFonts w:ascii="Times New Roman" w:eastAsia="Times New Roman" w:hAnsi="Times New Roman" w:cs="Times New Roman"/>
          <w:color w:val="000000"/>
          <w:spacing w:val="0"/>
          <w:w w:val="100"/>
          <w:position w:val="0"/>
          <w:shd w:val="clear" w:color="auto" w:fill="auto"/>
          <w:lang w:val="de-DE" w:eastAsia="de-DE" w:bidi="de-DE"/>
        </w:rPr>
        <w:t xml:space="preserve">Drachenfels </w:t>
      </w:r>
      <w:r>
        <w:rPr>
          <w:rFonts w:ascii="Times New Roman" w:eastAsia="Times New Roman" w:hAnsi="Times New Roman" w:cs="Times New Roman"/>
          <w:color w:val="000000"/>
          <w:spacing w:val="0"/>
          <w:w w:val="100"/>
          <w:position w:val="0"/>
          <w:shd w:val="clear" w:color="auto" w:fill="auto"/>
          <w:lang w:val="en-US" w:eastAsia="en-US" w:bidi="en-US"/>
        </w:rPr>
        <w:t xml:space="preserve">(1067 ft.), abutting on the Rhine and surmounted by the ruins of an old castle; immediately behind it, and connected by a narrow ridge, the </w:t>
      </w:r>
      <w:r>
        <w:rPr>
          <w:rFonts w:ascii="Times New Roman" w:eastAsia="Times New Roman" w:hAnsi="Times New Roman" w:cs="Times New Roman"/>
          <w:color w:val="000000"/>
          <w:spacing w:val="0"/>
          <w:w w:val="100"/>
          <w:position w:val="0"/>
          <w:shd w:val="clear" w:color="auto" w:fill="auto"/>
          <w:lang w:val="de-DE" w:eastAsia="de-DE" w:bidi="de-DE"/>
        </w:rPr>
        <w:t xml:space="preserve">Wolkenburg </w:t>
      </w:r>
      <w:r>
        <w:rPr>
          <w:rFonts w:ascii="Times New Roman" w:eastAsia="Times New Roman" w:hAnsi="Times New Roman" w:cs="Times New Roman"/>
          <w:color w:val="000000"/>
          <w:spacing w:val="0"/>
          <w:w w:val="100"/>
          <w:position w:val="0"/>
          <w:shd w:val="clear" w:color="auto" w:fill="auto"/>
          <w:lang w:val="en-US" w:eastAsia="en-US" w:bidi="en-US"/>
        </w:rPr>
        <w:t xml:space="preserve">(1076 ft.); lying apart, and to the N. of these, the Petersberg (1096 ft.), with a pilgrimage chapel of St Peter; then, to the S. of these three, a chain of four—viz. the </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 xml:space="preserve">lberg (1522 ft.), the highest of the range; the </w:t>
      </w:r>
      <w:r>
        <w:rPr>
          <w:rFonts w:ascii="Times New Roman" w:eastAsia="Times New Roman" w:hAnsi="Times New Roman" w:cs="Times New Roman"/>
          <w:color w:val="000000"/>
          <w:spacing w:val="0"/>
          <w:w w:val="100"/>
          <w:position w:val="0"/>
          <w:shd w:val="clear" w:color="auto" w:fill="auto"/>
          <w:lang w:val="de-DE" w:eastAsia="de-DE" w:bidi="de-DE"/>
        </w:rPr>
        <w:t xml:space="preserve">Löwenburg </w:t>
      </w:r>
      <w:r>
        <w:rPr>
          <w:rFonts w:ascii="Times New Roman" w:eastAsia="Times New Roman" w:hAnsi="Times New Roman" w:cs="Times New Roman"/>
          <w:color w:val="000000"/>
          <w:spacing w:val="0"/>
          <w:w w:val="100"/>
          <w:position w:val="0"/>
          <w:shd w:val="clear" w:color="auto" w:fill="auto"/>
          <w:lang w:val="en-US" w:eastAsia="en-US" w:bidi="en-US"/>
        </w:rPr>
        <w:t xml:space="preserve">(1506 ft.); the Lohrberg (1444 ft.), and, farthest away, the </w:t>
      </w:r>
      <w:r>
        <w:rPr>
          <w:rFonts w:ascii="Times New Roman" w:eastAsia="Times New Roman" w:hAnsi="Times New Roman" w:cs="Times New Roman"/>
          <w:color w:val="000000"/>
          <w:spacing w:val="0"/>
          <w:w w:val="100"/>
          <w:position w:val="0"/>
          <w:shd w:val="clear" w:color="auto" w:fill="auto"/>
          <w:lang w:val="de-DE" w:eastAsia="de-DE" w:bidi="de-DE"/>
        </w:rPr>
        <w:t xml:space="preserve">Nonnenstromberg </w:t>
      </w:r>
      <w:r>
        <w:rPr>
          <w:rFonts w:ascii="Times New Roman" w:eastAsia="Times New Roman" w:hAnsi="Times New Roman" w:cs="Times New Roman"/>
          <w:color w:val="000000"/>
          <w:spacing w:val="0"/>
          <w:w w:val="100"/>
          <w:position w:val="0"/>
          <w:shd w:val="clear" w:color="auto" w:fill="auto"/>
          <w:lang w:val="en-US" w:eastAsia="en-US" w:bidi="en-US"/>
        </w:rPr>
        <w:t xml:space="preserve">(1107 ft.). At the foot of the </w:t>
      </w:r>
      <w:r>
        <w:rPr>
          <w:rFonts w:ascii="Times New Roman" w:eastAsia="Times New Roman" w:hAnsi="Times New Roman" w:cs="Times New Roman"/>
          <w:color w:val="000000"/>
          <w:spacing w:val="0"/>
          <w:w w:val="100"/>
          <w:position w:val="0"/>
          <w:shd w:val="clear" w:color="auto" w:fill="auto"/>
          <w:lang w:val="de-DE" w:eastAsia="de-DE" w:bidi="de-DE"/>
        </w:rPr>
        <w:t xml:space="preserve">Drachenfels, </w:t>
      </w:r>
      <w:r>
        <w:rPr>
          <w:rFonts w:ascii="Times New Roman" w:eastAsia="Times New Roman" w:hAnsi="Times New Roman" w:cs="Times New Roman"/>
          <w:color w:val="000000"/>
          <w:spacing w:val="0"/>
          <w:w w:val="100"/>
          <w:position w:val="0"/>
          <w:shd w:val="clear" w:color="auto" w:fill="auto"/>
          <w:lang w:val="en-US" w:eastAsia="en-US" w:bidi="en-US"/>
        </w:rPr>
        <w:t xml:space="preserve">on the north side, lies the little town of </w:t>
      </w:r>
      <w:r>
        <w:rPr>
          <w:rFonts w:ascii="Times New Roman" w:eastAsia="Times New Roman" w:hAnsi="Times New Roman" w:cs="Times New Roman"/>
          <w:color w:val="000000"/>
          <w:spacing w:val="0"/>
          <w:w w:val="100"/>
          <w:position w:val="0"/>
          <w:shd w:val="clear" w:color="auto" w:fill="auto"/>
          <w:lang w:val="de-DE" w:eastAsia="de-DE" w:bidi="de-DE"/>
        </w:rPr>
        <w:t xml:space="preserve">Königswinter, </w:t>
      </w:r>
      <w:r>
        <w:rPr>
          <w:rFonts w:ascii="Times New Roman" w:eastAsia="Times New Roman" w:hAnsi="Times New Roman" w:cs="Times New Roman"/>
          <w:color w:val="000000"/>
          <w:spacing w:val="0"/>
          <w:w w:val="100"/>
          <w:position w:val="0"/>
          <w:shd w:val="clear" w:color="auto" w:fill="auto"/>
          <w:lang w:val="en-US" w:eastAsia="en-US" w:bidi="en-US"/>
        </w:rPr>
        <w:t>whence a mountain railway ascends to the summit, and a similar railway runs up the Petersberg. The ruins which crown almost every hill are those of strongholds of the archbishops of Cologne and mostly date from the 12th century.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von Dechen,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Geognostischer Führer in das Siebengebirge </w:t>
      </w:r>
      <w:r>
        <w:rPr>
          <w:rFonts w:ascii="Times New Roman" w:eastAsia="Times New Roman" w:hAnsi="Times New Roman" w:cs="Times New Roman"/>
          <w:color w:val="000000"/>
          <w:spacing w:val="0"/>
          <w:w w:val="100"/>
          <w:position w:val="0"/>
          <w:shd w:val="clear" w:color="auto" w:fill="auto"/>
          <w:lang w:val="en-US" w:eastAsia="en-US" w:bidi="en-US"/>
        </w:rPr>
        <w:t xml:space="preserve">(Bonn, 1861); von Stürtz,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Führer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durch </w:t>
      </w:r>
      <w:r>
        <w:rPr>
          <w:rFonts w:ascii="Times New Roman" w:eastAsia="Times New Roman" w:hAnsi="Times New Roman" w:cs="Times New Roman"/>
          <w:i/>
          <w:iCs/>
          <w:color w:val="000000"/>
          <w:spacing w:val="0"/>
          <w:w w:val="100"/>
          <w:position w:val="0"/>
          <w:shd w:val="clear" w:color="auto" w:fill="auto"/>
          <w:lang w:val="en-US" w:eastAsia="en-US" w:bidi="en-US"/>
        </w:rPr>
        <w:t>das Siebengebirge</w:t>
      </w:r>
      <w:r>
        <w:rPr>
          <w:rFonts w:ascii="Times New Roman" w:eastAsia="Times New Roman" w:hAnsi="Times New Roman" w:cs="Times New Roman"/>
          <w:color w:val="000000"/>
          <w:spacing w:val="0"/>
          <w:w w:val="100"/>
          <w:position w:val="0"/>
          <w:shd w:val="clear" w:color="auto" w:fill="auto"/>
          <w:lang w:val="en-US" w:eastAsia="en-US" w:bidi="en-US"/>
        </w:rPr>
        <w:t xml:space="preserve"> (Bonn, 1893); Laspeyres, </w:t>
      </w:r>
      <w:r>
        <w:rPr>
          <w:rFonts w:ascii="Times New Roman" w:eastAsia="Times New Roman" w:hAnsi="Times New Roman" w:cs="Times New Roman"/>
          <w:i/>
          <w:iCs/>
          <w:color w:val="000000"/>
          <w:spacing w:val="0"/>
          <w:w w:val="100"/>
          <w:position w:val="0"/>
          <w:shd w:val="clear" w:color="auto" w:fill="auto"/>
          <w:lang w:val="en-US" w:eastAsia="en-US" w:bidi="en-US"/>
        </w:rPr>
        <w:t>Dos Siebengebirge am Rhein</w:t>
      </w:r>
      <w:r>
        <w:rPr>
          <w:rFonts w:ascii="Times New Roman" w:eastAsia="Times New Roman" w:hAnsi="Times New Roman" w:cs="Times New Roman"/>
          <w:color w:val="000000"/>
          <w:spacing w:val="0"/>
          <w:w w:val="100"/>
          <w:position w:val="0"/>
          <w:shd w:val="clear" w:color="auto" w:fill="auto"/>
          <w:lang w:val="en-US" w:eastAsia="en-US" w:bidi="en-US"/>
        </w:rPr>
        <w:t xml:space="preserve"> (Bonn, 1901).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SIEBOLD,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CARL THEODOR ERNST VON </w:t>
      </w:r>
      <w:r>
        <w:rPr>
          <w:rFonts w:ascii="Times New Roman" w:eastAsia="Times New Roman" w:hAnsi="Times New Roman" w:cs="Times New Roman"/>
          <w:color w:val="000000"/>
          <w:spacing w:val="0"/>
          <w:w w:val="100"/>
          <w:position w:val="0"/>
          <w:shd w:val="clear" w:color="auto" w:fill="auto"/>
          <w:lang w:val="en-US" w:eastAsia="en-US" w:bidi="en-US"/>
        </w:rPr>
        <w:t xml:space="preserve">(1804-1885), German physiologist and zoologist, the son of a physician and a descendant of what Lorenz Oken called the “ Asclepiad family of </w:t>
      </w:r>
      <w:r>
        <w:rPr>
          <w:rFonts w:ascii="Times New Roman" w:eastAsia="Times New Roman" w:hAnsi="Times New Roman" w:cs="Times New Roman"/>
          <w:color w:val="000000"/>
          <w:spacing w:val="0"/>
          <w:w w:val="100"/>
          <w:position w:val="0"/>
          <w:shd w:val="clear" w:color="auto" w:fill="auto"/>
          <w:lang w:val="de-DE" w:eastAsia="de-DE" w:bidi="de-DE"/>
        </w:rPr>
        <w:t xml:space="preserve">Siebolds,” </w:t>
      </w:r>
      <w:r>
        <w:rPr>
          <w:rFonts w:ascii="Times New Roman" w:eastAsia="Times New Roman" w:hAnsi="Times New Roman" w:cs="Times New Roman"/>
          <w:color w:val="000000"/>
          <w:spacing w:val="0"/>
          <w:w w:val="100"/>
          <w:position w:val="0"/>
          <w:shd w:val="clear" w:color="auto" w:fill="auto"/>
          <w:lang w:val="en-US" w:eastAsia="en-US" w:bidi="en-US"/>
        </w:rPr>
        <w:t xml:space="preserve">was born at Würzburg on the 16th of February 1804. Educated in medicine and science chiefly at the university of Berlin, he became successively professor of zoology, physiology and comparative anatomy in Königsberg, Erlangen, Freiburg, Breslau and Munich. In conjunction with F. H. Stannius he published (1845-1848) a </w:t>
      </w:r>
      <w:r>
        <w:rPr>
          <w:rFonts w:ascii="Times New Roman" w:eastAsia="Times New Roman" w:hAnsi="Times New Roman" w:cs="Times New Roman"/>
          <w:i/>
          <w:iCs/>
          <w:color w:val="000000"/>
          <w:spacing w:val="0"/>
          <w:w w:val="100"/>
          <w:position w:val="0"/>
          <w:shd w:val="clear" w:color="auto" w:fill="auto"/>
          <w:lang w:val="en-US" w:eastAsia="en-US" w:bidi="en-US"/>
        </w:rPr>
        <w:t>Manual of Comparative Anatomy</w:t>
      </w:r>
      <w:r>
        <w:rPr>
          <w:rFonts w:ascii="Times New Roman" w:eastAsia="Times New Roman" w:hAnsi="Times New Roman" w:cs="Times New Roman"/>
          <w:color w:val="000000"/>
          <w:spacing w:val="0"/>
          <w:w w:val="100"/>
          <w:position w:val="0"/>
          <w:shd w:val="clear" w:color="auto" w:fill="auto"/>
          <w:lang w:val="en-US" w:eastAsia="en-US" w:bidi="en-US"/>
        </w:rPr>
        <w:t xml:space="preserve">, and along with R. A. Kölliker he founded in 1848 a journal which soon took a leading place in biological literature, </w:t>
      </w:r>
      <w:r>
        <w:rPr>
          <w:rFonts w:ascii="Times New Roman" w:eastAsia="Times New Roman" w:hAnsi="Times New Roman" w:cs="Times New Roman"/>
          <w:i/>
          <w:iCs/>
          <w:color w:val="000000"/>
          <w:spacing w:val="0"/>
          <w:w w:val="100"/>
          <w:position w:val="0"/>
          <w:shd w:val="clear" w:color="auto" w:fill="auto"/>
          <w:lang w:val="de-DE" w:eastAsia="de-DE" w:bidi="de-DE"/>
        </w:rPr>
        <w:t>Zeitschrift für wissenschaftliche Zoologie.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de-DE" w:eastAsia="de-DE" w:bidi="de-DE"/>
        </w:rPr>
        <w:t xml:space="preserve">was also </w:t>
      </w:r>
      <w:r>
        <w:rPr>
          <w:rFonts w:ascii="Times New Roman" w:eastAsia="Times New Roman" w:hAnsi="Times New Roman" w:cs="Times New Roman"/>
          <w:color w:val="000000"/>
          <w:spacing w:val="0"/>
          <w:w w:val="100"/>
          <w:position w:val="0"/>
          <w:shd w:val="clear" w:color="auto" w:fill="auto"/>
          <w:lang w:val="en-US" w:eastAsia="en-US" w:bidi="en-US"/>
        </w:rPr>
        <w:t>a laborious and successful helminthologist and entomologist, in both capacities contributing many valuable papers to his journal, which he continued to edit until his death at Munich on the 7th of April 1885. In these ways, without being a man of marked genius, but rather an industrious and critical observer, he came to fill a peculiarly distinguished position in science, and was long reckoned, what his biographer justly calls him, the Nestor of German zoology.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Ehlers, </w:t>
      </w:r>
      <w:r>
        <w:rPr>
          <w:rFonts w:ascii="Times New Roman" w:eastAsia="Times New Roman" w:hAnsi="Times New Roman" w:cs="Times New Roman"/>
          <w:i/>
          <w:iCs/>
          <w:color w:val="000000"/>
          <w:spacing w:val="0"/>
          <w:w w:val="100"/>
          <w:position w:val="0"/>
          <w:shd w:val="clear" w:color="auto" w:fill="auto"/>
          <w:lang w:val="en-US" w:eastAsia="en-US" w:bidi="en-US"/>
        </w:rPr>
        <w:t>Zeitschr. f. wiss. Zool.</w:t>
      </w:r>
      <w:r>
        <w:rPr>
          <w:rFonts w:ascii="Times New Roman" w:eastAsia="Times New Roman" w:hAnsi="Times New Roman" w:cs="Times New Roman"/>
          <w:color w:val="000000"/>
          <w:spacing w:val="0"/>
          <w:w w:val="100"/>
          <w:position w:val="0"/>
          <w:shd w:val="clear" w:color="auto" w:fill="auto"/>
          <w:lang w:val="en-US" w:eastAsia="en-US" w:bidi="en-US"/>
        </w:rPr>
        <w:t xml:space="preserve"> (1885).</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SIEBOLD,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PHILIPP FRANZ VON </w:t>
      </w:r>
      <w:r>
        <w:rPr>
          <w:rFonts w:ascii="Times New Roman" w:eastAsia="Times New Roman" w:hAnsi="Times New Roman" w:cs="Times New Roman"/>
          <w:color w:val="000000"/>
          <w:spacing w:val="0"/>
          <w:w w:val="100"/>
          <w:position w:val="0"/>
          <w:shd w:val="clear" w:color="auto" w:fill="auto"/>
          <w:lang w:val="en-US" w:eastAsia="en-US" w:bidi="en-US"/>
        </w:rPr>
        <w:t xml:space="preserve">(1796-1866), scientific explorer of Japan, elder brother of the physiologist, was born </w:t>
      </w:r>
      <w:r>
        <w:rPr>
          <w:rFonts w:ascii="Times New Roman" w:eastAsia="Times New Roman" w:hAnsi="Times New Roman" w:cs="Times New Roman"/>
          <w:color w:val="000000"/>
          <w:spacing w:val="0"/>
          <w:w w:val="100"/>
          <w:position w:val="0"/>
          <w:shd w:val="clear" w:color="auto" w:fill="auto"/>
          <w:lang w:val="en-US" w:eastAsia="en-US" w:bidi="en-US"/>
        </w:rPr>
        <w:t xml:space="preserve">at Würzburg, Germany, on the 17th of February 1796. He studied medicine and natural science at Würzburg, and obtained his doctor’s diploma in 1820. In 1822 he entered the service of the king of the Netherlands as medical officer to the East Indian Army. On his arrival at Batavia he was attached to a new mission to Japan, sent by the Dutch with a view to improve their trading relations with that country. </w:t>
      </w:r>
      <w:r>
        <w:rPr>
          <w:rFonts w:ascii="Times New Roman" w:eastAsia="Times New Roman" w:hAnsi="Times New Roman" w:cs="Times New Roman"/>
          <w:color w:val="000000"/>
          <w:spacing w:val="0"/>
          <w:w w:val="100"/>
          <w:position w:val="0"/>
          <w:shd w:val="clear" w:color="auto" w:fill="auto"/>
          <w:lang w:val="de-DE" w:eastAsia="de-DE" w:bidi="de-DE"/>
        </w:rPr>
        <w:t xml:space="preserve">Siebold </w:t>
      </w:r>
      <w:r>
        <w:rPr>
          <w:rFonts w:ascii="Times New Roman" w:eastAsia="Times New Roman" w:hAnsi="Times New Roman" w:cs="Times New Roman"/>
          <w:color w:val="000000"/>
          <w:spacing w:val="0"/>
          <w:w w:val="100"/>
          <w:position w:val="0"/>
          <w:shd w:val="clear" w:color="auto" w:fill="auto"/>
          <w:lang w:val="en-US" w:eastAsia="en-US" w:bidi="en-US"/>
        </w:rPr>
        <w:t xml:space="preserve">was well equipped with scientific apparatus, and he remained in Japan for six years, with headquarters at the Dutch settlement on the little island of Deshima. His medical qualifications enabled him to find favour with the Japanese, and he gathered a vast amount of information concerning a country then very little known, especially concerning its natural history and ethnography. He had comparatively free access to the interior, and his reputation spreading far and wide brought him visitors from all parts of the country. His valuable stores of information were enriched by trained natives whom he sent to collect for him in the interior. In 1824 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historiae naturalis in Japonia statu </w:t>
      </w:r>
      <w:r>
        <w:rPr>
          <w:rFonts w:ascii="Times New Roman" w:eastAsia="Times New Roman" w:hAnsi="Times New Roman" w:cs="Times New Roman"/>
          <w:color w:val="000000"/>
          <w:spacing w:val="0"/>
          <w:w w:val="100"/>
          <w:position w:val="0"/>
          <w:shd w:val="clear" w:color="auto" w:fill="auto"/>
          <w:lang w:val="en-US" w:eastAsia="en-US" w:bidi="en-US"/>
        </w:rPr>
        <w:t xml:space="preserve">and in 1832 his splendid </w:t>
      </w:r>
      <w:r>
        <w:rPr>
          <w:rFonts w:ascii="Times New Roman" w:eastAsia="Times New Roman" w:hAnsi="Times New Roman" w:cs="Times New Roman"/>
          <w:i/>
          <w:iCs/>
          <w:color w:val="000000"/>
          <w:spacing w:val="0"/>
          <w:w w:val="100"/>
          <w:position w:val="0"/>
          <w:shd w:val="clear" w:color="auto" w:fill="auto"/>
          <w:lang w:val="en-US" w:eastAsia="en-US" w:bidi="en-US"/>
        </w:rPr>
        <w:t>Fauna Japonica.</w:t>
      </w:r>
      <w:r>
        <w:rPr>
          <w:rFonts w:ascii="Times New Roman" w:eastAsia="Times New Roman" w:hAnsi="Times New Roman" w:cs="Times New Roman"/>
          <w:color w:val="000000"/>
          <w:spacing w:val="0"/>
          <w:w w:val="100"/>
          <w:position w:val="0"/>
          <w:shd w:val="clear" w:color="auto" w:fill="auto"/>
          <w:lang w:val="en-US" w:eastAsia="en-US" w:bidi="en-US"/>
        </w:rPr>
        <w:t xml:space="preserve"> His knowledge of the language enabled him also in 1826 to issue from Batavia his </w:t>
      </w:r>
      <w:r>
        <w:rPr>
          <w:rFonts w:ascii="Times New Roman" w:eastAsia="Times New Roman" w:hAnsi="Times New Roman" w:cs="Times New Roman"/>
          <w:i/>
          <w:iCs/>
          <w:color w:val="000000"/>
          <w:spacing w:val="0"/>
          <w:w w:val="100"/>
          <w:position w:val="0"/>
          <w:shd w:val="clear" w:color="auto" w:fill="auto"/>
          <w:lang w:val="en-US" w:eastAsia="en-US" w:bidi="en-US"/>
        </w:rPr>
        <w:t>Epitome linguae Japonicae.</w:t>
      </w:r>
      <w:r>
        <w:rPr>
          <w:rFonts w:ascii="Times New Roman" w:eastAsia="Times New Roman" w:hAnsi="Times New Roman" w:cs="Times New Roman"/>
          <w:color w:val="000000"/>
          <w:spacing w:val="0"/>
          <w:w w:val="100"/>
          <w:position w:val="0"/>
          <w:shd w:val="clear" w:color="auto" w:fill="auto"/>
          <w:lang w:val="en-US" w:eastAsia="en-US" w:bidi="en-US"/>
        </w:rPr>
        <w:t xml:space="preserve"> In Deshima he also laid the founda</w:t>
        <w:softHyphen/>
        <w:t xml:space="preserve">tion of his </w:t>
      </w:r>
      <w:r>
        <w:rPr>
          <w:rFonts w:ascii="Times New Roman" w:eastAsia="Times New Roman" w:hAnsi="Times New Roman" w:cs="Times New Roman"/>
          <w:i/>
          <w:iCs/>
          <w:color w:val="000000"/>
          <w:spacing w:val="0"/>
          <w:w w:val="100"/>
          <w:position w:val="0"/>
          <w:shd w:val="clear" w:color="auto" w:fill="auto"/>
          <w:lang w:val="en-US" w:eastAsia="en-US" w:bidi="en-US"/>
        </w:rPr>
        <w:t>Catalogus librorum Japonicorum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Isagoge in bibliothecam Japonicam,</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after his return to Europe, as was his </w:t>
      </w:r>
      <w:r>
        <w:rPr>
          <w:rFonts w:ascii="Times New Roman" w:eastAsia="Times New Roman" w:hAnsi="Times New Roman" w:cs="Times New Roman"/>
          <w:i/>
          <w:iCs/>
          <w:color w:val="000000"/>
          <w:spacing w:val="0"/>
          <w:w w:val="100"/>
          <w:position w:val="0"/>
          <w:shd w:val="clear" w:color="auto" w:fill="auto"/>
          <w:lang w:val="en-US" w:eastAsia="en-US" w:bidi="en-US"/>
        </w:rPr>
        <w:t>Bibliotheca Japonica,</w:t>
      </w:r>
      <w:r>
        <w:rPr>
          <w:rFonts w:ascii="Times New Roman" w:eastAsia="Times New Roman" w:hAnsi="Times New Roman" w:cs="Times New Roman"/>
          <w:color w:val="000000"/>
          <w:spacing w:val="0"/>
          <w:w w:val="100"/>
          <w:position w:val="0"/>
          <w:shd w:val="clear" w:color="auto" w:fill="auto"/>
          <w:lang w:val="en-US" w:eastAsia="en-US" w:bidi="en-US"/>
        </w:rPr>
        <w:t xml:space="preserve"> which, with the co-operation of J. Hoffmann, appeared at Leiden in 1833. During the visit which he was permitted to make to Yedo </w:t>
      </w:r>
      <w:r>
        <w:rPr>
          <w:rFonts w:ascii="Times New Roman" w:eastAsia="Times New Roman" w:hAnsi="Times New Roman" w:cs="Times New Roman"/>
          <w:color w:val="000000"/>
          <w:spacing w:val="0"/>
          <w:w w:val="100"/>
          <w:position w:val="0"/>
          <w:shd w:val="clear" w:color="auto" w:fill="auto"/>
          <w:lang w:val="de-DE" w:eastAsia="de-DE" w:bidi="de-DE"/>
        </w:rPr>
        <w:t xml:space="preserve">(Tokio), Siebold </w:t>
      </w:r>
      <w:r>
        <w:rPr>
          <w:rFonts w:ascii="Times New Roman" w:eastAsia="Times New Roman" w:hAnsi="Times New Roman" w:cs="Times New Roman"/>
          <w:color w:val="000000"/>
          <w:spacing w:val="0"/>
          <w:w w:val="100"/>
          <w:position w:val="0"/>
          <w:shd w:val="clear" w:color="auto" w:fill="auto"/>
          <w:lang w:val="en-US" w:eastAsia="en-US" w:bidi="en-US"/>
        </w:rPr>
        <w:t>made the best of the rare opportunity; his zeal, indeed, outran his discretion, since, for obtaining a native map of the country, he was thrown into prison and compelled to quit Japan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January 1830. On his return to Holland he was raised to the rank of major, and in 1842 to that of colonel. After his arrival in Europe he began to give to the world the fruits of his researches and observations in Japan.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Nippon; </w:t>
      </w:r>
      <w:r>
        <w:rPr>
          <w:rFonts w:ascii="Times New Roman" w:eastAsia="Times New Roman" w:hAnsi="Times New Roman" w:cs="Times New Roman"/>
          <w:i/>
          <w:iCs/>
          <w:color w:val="000000"/>
          <w:spacing w:val="0"/>
          <w:w w:val="100"/>
          <w:position w:val="0"/>
          <w:shd w:val="clear" w:color="auto" w:fill="auto"/>
          <w:lang w:val="de-DE" w:eastAsia="de-DE" w:bidi="de-DE"/>
        </w:rPr>
        <w:t>Archiv zur Beschrei</w:t>
        <w:softHyphen/>
        <w:t>bung von Japan und dessen Neben- und Schutz-Ländern</w:t>
      </w:r>
      <w:r>
        <w:rPr>
          <w:rFonts w:ascii="Times New Roman" w:eastAsia="Times New Roman" w:hAnsi="Times New Roman" w:cs="Times New Roman"/>
          <w:color w:val="000000"/>
          <w:spacing w:val="0"/>
          <w:w w:val="100"/>
          <w:position w:val="0"/>
          <w:shd w:val="clear" w:color="auto" w:fill="auto"/>
          <w:lang w:val="de-DE" w:eastAsia="de-DE" w:bidi="de-DE"/>
        </w:rPr>
        <w:t xml:space="preserve"> was </w:t>
      </w:r>
      <w:r>
        <w:rPr>
          <w:rFonts w:ascii="Times New Roman" w:eastAsia="Times New Roman" w:hAnsi="Times New Roman" w:cs="Times New Roman"/>
          <w:color w:val="000000"/>
          <w:spacing w:val="0"/>
          <w:w w:val="100"/>
          <w:position w:val="0"/>
          <w:shd w:val="clear" w:color="auto" w:fill="auto"/>
          <w:lang w:val="en-US" w:eastAsia="en-US" w:bidi="en-US"/>
        </w:rPr>
        <w:t xml:space="preserve">issued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five quarto volumes of text, with six folio volumes of atlas and engravings. He also issued many fragmentary papers on various aspects of Japan. In 1854 he published at Leiden </w:t>
      </w:r>
      <w:r>
        <w:rPr>
          <w:rFonts w:ascii="Times New Roman" w:eastAsia="Times New Roman" w:hAnsi="Times New Roman" w:cs="Times New Roman"/>
          <w:i/>
          <w:iCs/>
          <w:color w:val="000000"/>
          <w:spacing w:val="0"/>
          <w:w w:val="100"/>
          <w:position w:val="0"/>
          <w:shd w:val="clear" w:color="auto" w:fill="auto"/>
          <w:lang w:val="de-DE" w:eastAsia="de-DE" w:bidi="de-DE"/>
        </w:rPr>
        <w:t>Urkundliche Darstellung der Bestrebungen Niederlands und Russlands zur Eröffnung Japans.</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1859 </w:t>
      </w:r>
      <w:r>
        <w:rPr>
          <w:rFonts w:ascii="Times New Roman" w:eastAsia="Times New Roman" w:hAnsi="Times New Roman" w:cs="Times New Roman"/>
          <w:color w:val="000000"/>
          <w:spacing w:val="0"/>
          <w:w w:val="100"/>
          <w:position w:val="0"/>
          <w:shd w:val="clear" w:color="auto" w:fill="auto"/>
          <w:lang w:val="de-DE" w:eastAsia="de-DE" w:bidi="de-DE"/>
        </w:rPr>
        <w:t xml:space="preserve">Siebold </w:t>
      </w:r>
      <w:r>
        <w:rPr>
          <w:rFonts w:ascii="Times New Roman" w:eastAsia="Times New Roman" w:hAnsi="Times New Roman" w:cs="Times New Roman"/>
          <w:color w:val="000000"/>
          <w:spacing w:val="0"/>
          <w:w w:val="100"/>
          <w:position w:val="0"/>
          <w:shd w:val="clear" w:color="auto" w:fill="auto"/>
          <w:lang w:val="en-US" w:eastAsia="en-US" w:bidi="en-US"/>
        </w:rPr>
        <w:t xml:space="preserve">undertook a second journey to Japan, and was invited by the emperor to his court. In 1861 he obtained permission from the Dutch government to enter the Japanese service as negotiator between Japan and the powers of Europe, and in the same year his eldest son was made interpreter to the English embassy at Yedo. </w:t>
      </w:r>
      <w:r>
        <w:rPr>
          <w:rFonts w:ascii="Times New Roman" w:eastAsia="Times New Roman" w:hAnsi="Times New Roman" w:cs="Times New Roman"/>
          <w:color w:val="000000"/>
          <w:spacing w:val="0"/>
          <w:w w:val="100"/>
          <w:position w:val="0"/>
          <w:shd w:val="clear" w:color="auto" w:fill="auto"/>
          <w:lang w:val="de-DE" w:eastAsia="de-DE" w:bidi="de-DE"/>
        </w:rPr>
        <w:t xml:space="preserve">Siebold </w:t>
      </w:r>
      <w:r>
        <w:rPr>
          <w:rFonts w:ascii="Times New Roman" w:eastAsia="Times New Roman" w:hAnsi="Times New Roman" w:cs="Times New Roman"/>
          <w:color w:val="000000"/>
          <w:spacing w:val="0"/>
          <w:w w:val="100"/>
          <w:position w:val="0"/>
          <w:shd w:val="clear" w:color="auto" w:fill="auto"/>
          <w:lang w:val="en-US" w:eastAsia="en-US" w:bidi="en-US"/>
        </w:rPr>
        <w:t>was, however, soon obliged by various intrigues to retire from his post, and ultimately from Japan. Returning by Java to Europe in 1862, he set up his ethnographical collections, which were ultimately secured by the government of Bavaria and removed to Munich. He con</w:t>
        <w:softHyphen/>
        <w:t>tinued to publish papers on various Japanese subjects, and received honours from many of the learned societies of Europe. He died at Munich on the 18th of October 1866.</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biography by Moritz Wagner, in </w:t>
      </w:r>
      <w:r>
        <w:rPr>
          <w:rFonts w:ascii="Times New Roman" w:eastAsia="Times New Roman" w:hAnsi="Times New Roman" w:cs="Times New Roman"/>
          <w:i/>
          <w:iCs/>
          <w:color w:val="000000"/>
          <w:spacing w:val="0"/>
          <w:w w:val="100"/>
          <w:position w:val="0"/>
          <w:shd w:val="clear" w:color="auto" w:fill="auto"/>
          <w:lang w:val="de-DE" w:eastAsia="de-DE" w:bidi="de-DE"/>
        </w:rPr>
        <w:t>Allgemeine Zeitung,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13th to 16th of November 1866.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SIEDLCE </w:t>
      </w:r>
      <w:r>
        <w:rPr>
          <w:rFonts w:ascii="Times New Roman" w:eastAsia="Times New Roman" w:hAnsi="Times New Roman" w:cs="Times New Roman"/>
          <w:color w:val="000000"/>
          <w:spacing w:val="0"/>
          <w:w w:val="100"/>
          <w:position w:val="0"/>
          <w:shd w:val="clear" w:color="auto" w:fill="auto"/>
          <w:lang w:val="en-US" w:eastAsia="en-US" w:bidi="en-US"/>
        </w:rPr>
        <w:t xml:space="preserve">(Russian </w:t>
      </w:r>
      <w:r>
        <w:rPr>
          <w:rFonts w:ascii="Times New Roman" w:eastAsia="Times New Roman" w:hAnsi="Times New Roman" w:cs="Times New Roman"/>
          <w:i/>
          <w:iCs/>
          <w:color w:val="000000"/>
          <w:spacing w:val="0"/>
          <w:w w:val="100"/>
          <w:position w:val="0"/>
          <w:shd w:val="clear" w:color="auto" w:fill="auto"/>
          <w:lang w:val="en-US" w:eastAsia="en-US" w:bidi="en-US"/>
        </w:rPr>
        <w:t>Syedlets),</w:t>
      </w:r>
      <w:r>
        <w:rPr>
          <w:rFonts w:ascii="Times New Roman" w:eastAsia="Times New Roman" w:hAnsi="Times New Roman" w:cs="Times New Roman"/>
          <w:color w:val="000000"/>
          <w:spacing w:val="0"/>
          <w:w w:val="100"/>
          <w:position w:val="0"/>
          <w:shd w:val="clear" w:color="auto" w:fill="auto"/>
          <w:lang w:val="en-US" w:eastAsia="en-US" w:bidi="en-US"/>
        </w:rPr>
        <w:t xml:space="preserve"> a government of Russian Poland, between the Vistula and the Bug, having the governments of Warsaw on the W., Lomza on the N., Grodno and Volhynia on the E., Lublin on the S., and Radom on the S.W. Its area is 5533 sq. m. The surface is mostly flat, only a few hilly tracts appearing in the middle, around Biala, and in the east on the banks of the Bug. Extensive marshes occur in the north and in the south-east. Cretaceous, Jurassic and Tertiary strata cover the surface, and are overlain by widely spread Glacial deposits. The valley of the Vistula is mostly wide, with several terraces covered with sand-dunes or peat-bogs. Siedlce is drained by the Vistula, which borders it for 50 m. on the west; by the Bug, which is navigable from </w:t>
      </w:r>
      <w:r>
        <w:rPr>
          <w:rFonts w:ascii="Times New Roman" w:eastAsia="Times New Roman" w:hAnsi="Times New Roman" w:cs="Times New Roman"/>
          <w:color w:val="000000"/>
          <w:spacing w:val="0"/>
          <w:w w:val="100"/>
          <w:position w:val="0"/>
          <w:shd w:val="clear" w:color="auto" w:fill="auto"/>
          <w:lang w:val="fr-FR" w:eastAsia="fr-FR" w:bidi="fr-FR"/>
        </w:rPr>
        <w:t xml:space="preserve">Opalin </w:t>
      </w:r>
      <w:r>
        <w:rPr>
          <w:rFonts w:ascii="Times New Roman" w:eastAsia="Times New Roman" w:hAnsi="Times New Roman" w:cs="Times New Roman"/>
          <w:color w:val="000000"/>
          <w:spacing w:val="0"/>
          <w:w w:val="100"/>
          <w:position w:val="0"/>
          <w:shd w:val="clear" w:color="auto" w:fill="auto"/>
          <w:lang w:val="en-US" w:eastAsia="en-US" w:bidi="en-US"/>
        </w:rPr>
        <w:t>in Volhynia and flows for 170 m. on the east and north-east borders; by the Wieprz, a tributary of the Vistula, which is also navigable, and flows for 25 m. along the southern boundary; and by the Liwiec, a tributary of the Bug, which is navigable for some 30 m. below Wegrow. Of the total area only 5∙2% is unproductive; 48∙1% is under crops and 17∙2 under meadows and pasture land. The estimated</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