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each play. Simms’ works in 10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were published at New York in 1882;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Poems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vols., New York) in 1853.</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his biography (Boston, 1892), by Professor William P. Trent. A bibliographical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List of the Separate Writings of W. G. Simms of South Carolina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York, 1906) was compiled by O. Wegelin.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SIMNEL, LAMBERT (fl. </w:t>
      </w:r>
      <w:r>
        <w:rPr>
          <w:rFonts w:ascii="Times New Roman" w:eastAsia="Times New Roman" w:hAnsi="Times New Roman" w:cs="Times New Roman"/>
          <w:color w:val="000000"/>
          <w:spacing w:val="0"/>
          <w:w w:val="100"/>
          <w:position w:val="0"/>
          <w:shd w:val="clear" w:color="auto" w:fill="auto"/>
          <w:lang w:val="en-US" w:eastAsia="en-US" w:bidi="en-US"/>
        </w:rPr>
        <w:t>1477-1534). English impostor, was probably the son of a tradesman at Oxford. He was about ten years old in 1487, and was described as a handsome youth of intelligence and good manners. In i486, the year following the accession of Henry VII., rumours were disseminated by the adherents of the Yorkist dynasty that the two sons of Edward IV., who had been murdered in the Tower of London, were still alive. A young Oxford priest, Richard Symonds by name, conceived the project of putting forward the boy Simnel to impersonate one of these princes as a claimant for the crown, with the idea of thereby procuring for himself the archbishopric of Canterbury. He set about instructing the youth in the arts and graces appropriate to his pretended birth; but meanwhile a report having gained currency that the young earl of Warwick, son of Edward IV.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brother George, duke of Clarence, had died in the Tower, Symonds decided that the impersonation of this latter prince would be a more easily credible deception. It is probable that Symonds acted throughout with the connivance of the Yorkist leaders, and especially of John de la Pole, earl of Lincoln, himself a nephew of Edward IV., who had been named heir to the crown by Richard III. The Yorkists had many adherents in Ireland, and thither Lambert Simnel was taken by Symonds early in 1487; and, gaining the support of the earl of Kildare, the archbishop of Dublin, the lord chancellor and a powerful following, who were, or pretended to be, con</w:t>
        <w:softHyphen/>
        <w:t>vinced that the boy was the earl of Warwick escaped from the Tower, Simnel was crowned as King Edward VI. in the cathedral in Dublin on the 24th of May 1487. Messages asking for help were sent to Margaret, duchess of Burgundy, sister of Edward IV., to Sir Thomas Broughton and other Yorkist leaders.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2nd of February 1487 Henry VII. held a council at Sheen to concert measures for dealing with the conspiracy. Elizabeth Woodville, widow of Edward IV., was imprisoned in the convent of Bermondsey; and the real earl of Warwick was taken from the Tower and shown in public in the streets of London. But although Lincoln is said to have conversed with Warwick on this occasion, he fled abroad immediately after the council at Sheen, where he was present. In Flanders, Lincoln joined Lord Lovell, who had headed an unsuccessful Yorkist rising in i486, and in May 1487 the two lords proceeded to Dublin, where they landed a few days before the coronation of Lambert Simnel. They were accompanied by 2000 German soldiers under Martin Schwartz, procured by Margaret of Burgundy to support the enterprise, Margaret having recognized Simnel as her nephew. This force, together with some ill-armed Irish levies commanded by Sir Thomas Fitzgerald, landed in Lancashire on the 4th of June. King Henry was at Coventry when the news of the landing reached him, and immediately marched to Nottingham, where his army was strengthened by the addition of 6000 men. The invaders met with little encouragement from the populace, who were not well disposed towards a monarch whom it was sought to impose upon them by the aid of Irish and German mercenaries. Making for the fortress of Newark, Lincoln and Sir Thomas Broughton, at the head of their motley forces, and accompanied by Simnel, attacked the royal army near the village of Stoke-on-Trent on the 16th of June 1487. After a fierce and stubborn struggle in which the Germans behaved with great valour, the Royalists were completely victorious, though they left 2000 men on the field; Lincoln, Schwartz and Fitzgerald with 4000 of their followers were killed, and Lovell and Broughton disappeared never to be heard of again. The priest Symonds, and Simnel were taken prisoners. The former was consigned to a dungeon for the rest of his life; but Henry VII., recognizing that the youthful pretender had been a tool in the hands of others and was in himself harmless, pardoned Lambert Simnel and took him into his own service in the menial capacity of scullion. He was later promoted to be royal falconer and is said to have afterwards become a </w:t>
      </w:r>
      <w:r>
        <w:rPr>
          <w:rFonts w:ascii="Times New Roman" w:eastAsia="Times New Roman" w:hAnsi="Times New Roman" w:cs="Times New Roman"/>
          <w:color w:val="000000"/>
          <w:spacing w:val="0"/>
          <w:w w:val="100"/>
          <w:position w:val="0"/>
          <w:shd w:val="clear" w:color="auto" w:fill="auto"/>
          <w:lang w:val="en-US" w:eastAsia="en-US" w:bidi="en-US"/>
        </w:rPr>
        <w:t>servant in the household of Sir Thomas Lovell. The date of Simnel''s death is unknown, but he is known to have been still living in the year 1534.</w:t>
      </w:r>
    </w:p>
    <w:p>
      <w:pPr>
        <w:pStyle w:val="Style3"/>
        <w:keepNext w:val="0"/>
        <w:keepLines w:val="0"/>
        <w:widowControl w:val="0"/>
        <w:shd w:val="clear" w:color="auto" w:fill="auto"/>
        <w:tabs>
          <w:tab w:pos="4078"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Rolls of Parliament. VI.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Francis Bacon,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Henry VII.,</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notes by J. R. Lumby (Cambridge, 1881) ; Richard Bagwell,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Ireland under the Tudors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vols., London, 1885-1890); James Gairdner,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Henry VII.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1889)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Letters and Papers illus</w:t>
        <w:softHyphen/>
        <w:t>trative of the reigns of Richard III. and Henry VII.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Rolls” series, 2 vols., London, 1861-1863):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Political History of England,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v., by H. A. L. Fisher (London, 1906) ; and W. Busch,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England under the Tudors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(1895). For a contemporary account of Simnel's imposture, see Polydore Vergil,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Anglicæ historiae,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which all the later narratives are indebted.</w:t>
        <w:tab/>
        <w:t>(R. J. Μ.)</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SIMOCATTA,@@</w:t>
      </w:r>
      <w:r>
        <w:rPr>
          <w:rFonts w:ascii="Times New Roman" w:eastAsia="Times New Roman" w:hAnsi="Times New Roman" w:cs="Times New Roman"/>
          <w:b/>
          <w:b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THEOPHYLACT, </w:t>
      </w:r>
      <w:r>
        <w:rPr>
          <w:rFonts w:ascii="Times New Roman" w:eastAsia="Times New Roman" w:hAnsi="Times New Roman" w:cs="Times New Roman"/>
          <w:color w:val="000000"/>
          <w:spacing w:val="0"/>
          <w:w w:val="100"/>
          <w:position w:val="0"/>
          <w:shd w:val="clear" w:color="auto" w:fill="auto"/>
          <w:lang w:val="en-US" w:eastAsia="en-US" w:bidi="en-US"/>
        </w:rPr>
        <w:t>Byzantine historian, a native of Egypt, flourished at Constantinople during the reign of Heraclius (610-640), under whom he held the office *of imperial secretary. He is best known as the author of a history, in eight books, of the reign of the emperor Maurice (582-602), for which period he is the best and oldest authority. The work describes the wars with the Persians, the Avars and Slavs, and the emperor’s tragic end. “ His want of judgment renders him diffuse in trifles and concise in the most interesting facts ” (Gibbon), but his general trustworthiness is admitted. The history contains an introduction in the form of a dialogue between History and Philosophy. Photius (cod. 65) while admit</w:t>
        <w:softHyphen/>
        <w:t>ting a certain amount of gracefulness in the language, blames the author’s excessive use of figurative and allegorical expressions and moral sentiments. While the vocabulary contains many strange and affected words, the grammar and syntax are on the whole correct (ed. pr. by J. Pontanus, 1609; best edition by C. de Boor, 1887, with a valuable Index Graecitatis).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Simocatta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Physical Problems ('Aπoplaιφυσcκai)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dialogue form, dealing with the nature of animals and especially of man (ed. J. Ideler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Physici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medici Graeci </w:t>
      </w:r>
      <w:r>
        <w:rPr>
          <w:rFonts w:ascii="Times New Roman" w:eastAsia="Times New Roman" w:hAnsi="Times New Roman" w:cs="Times New Roman"/>
          <w:i/>
          <w:iCs/>
          <w:color w:val="000000"/>
          <w:spacing w:val="0"/>
          <w:w w:val="100"/>
          <w:position w:val="0"/>
          <w:shd w:val="clear" w:color="auto" w:fill="auto"/>
          <w:lang w:val="fr-FR" w:eastAsia="fr-FR" w:bidi="fr-FR"/>
        </w:rPr>
        <w:t>minores,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1841); and of a collection of 85 letters (moral, rustic, erotic), the supposed writers of which are either fictitious or well-known personages (Antisthenes to Pericles, Socrates to Plato, Socrates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best edition is by R. Hercher in </w:t>
      </w:r>
      <w:r>
        <w:rPr>
          <w:rFonts w:ascii="Times New Roman" w:eastAsia="Times New Roman" w:hAnsi="Times New Roman" w:cs="Times New Roman"/>
          <w:i/>
          <w:iCs/>
          <w:color w:val="000000"/>
          <w:spacing w:val="0"/>
          <w:w w:val="100"/>
          <w:position w:val="0"/>
          <w:shd w:val="clear" w:color="auto" w:fill="auto"/>
          <w:lang w:val="en-US" w:eastAsia="en-US" w:bidi="en-US"/>
        </w:rPr>
        <w:t>Epistolographi Graeci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(1873). The letters were translated into Latin (1509) by Copernicus (re</w:t>
        <w:softHyphen/>
        <w:t xml:space="preserve">printed 1873 by F. Hipler in </w:t>
      </w:r>
      <w:r>
        <w:rPr>
          <w:rFonts w:ascii="Times New Roman" w:eastAsia="Times New Roman" w:hAnsi="Times New Roman" w:cs="Times New Roman"/>
          <w:i/>
          <w:iCs/>
          <w:color w:val="000000"/>
          <w:spacing w:val="0"/>
          <w:w w:val="100"/>
          <w:position w:val="0"/>
          <w:shd w:val="clear" w:color="auto" w:fill="auto"/>
          <w:lang w:val="en-US" w:eastAsia="en-US" w:bidi="en-US"/>
        </w:rPr>
        <w:t>Spicilegium Copernicanum).</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C.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Krumbacher,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der byzantinischen Literatur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SIMON, ABRAHAM </w:t>
      </w:r>
      <w:r>
        <w:rPr>
          <w:rFonts w:ascii="Times New Roman" w:eastAsia="Times New Roman" w:hAnsi="Times New Roman" w:cs="Times New Roman"/>
          <w:color w:val="000000"/>
          <w:spacing w:val="0"/>
          <w:w w:val="100"/>
          <w:position w:val="0"/>
          <w:shd w:val="clear" w:color="auto" w:fill="auto"/>
          <w:lang w:val="en-US" w:eastAsia="en-US" w:bidi="en-US"/>
        </w:rPr>
        <w:t>(1622-1692), English medallist and modeller, was born in Yorkshire in 1622. He was originally intended for the church, but turned his attention to art, and, after studying in Holland, proceeded to Sweden, where he was employed by Queen Christina, in whose train he travelled to Paris. He returned to England before the outbreak of the Civil War, and attained celebrity by his medals and portraits modelled in wax. During the Commonwealth he executed many medals of leading parliamentarians, and at the Restoration he was patronized by Charles II., from whom he received a hundred guineas for his portrait designed as a medal for the proposed order of the Royal Oak. Having incurred the displeasure of the duke of York, he lost the favour of the court, and died in obscurity in 1692. Among the more interesting of his medals are those of the 2nd earl of Dunfermline, the 2nd earl of Lauderdale and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earl of Loudon; that of the duke of Albemarle, and many other fine medals, were modelled by Abraham Simon and chased by his brother Thomas Simon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 SIR JOHN </w:t>
      </w:r>
      <w:r>
        <w:rPr>
          <w:rFonts w:ascii="Times New Roman" w:eastAsia="Times New Roman" w:hAnsi="Times New Roman" w:cs="Times New Roman"/>
          <w:color w:val="000000"/>
          <w:spacing w:val="0"/>
          <w:w w:val="100"/>
          <w:position w:val="0"/>
          <w:shd w:val="clear" w:color="auto" w:fill="auto"/>
          <w:lang w:val="en-US" w:eastAsia="en-US" w:bidi="en-US"/>
        </w:rPr>
        <w:t>(1816-1904), English surgeon and sanitary reformer, was born in London on the 10th of October 1816. His father, Louis Michael Simon, was for many years a leading member of the London Stock Exchange. Both his grandfathers were French emigrants, who carried on business in London and Bath respectively. His father died at almost ninety-eight, and his mother at nearly ninety-five years of age. Simon was educated at a preparatory school in Penton</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 xml:space="preserve">spent seven years at Dr Burney’s school in Greenwich, and then ten months with a German </w:t>
      </w:r>
      <w:r>
        <w:rPr>
          <w:rFonts w:ascii="Times New Roman" w:eastAsia="Times New Roman" w:hAnsi="Times New Roman" w:cs="Times New Roman"/>
          <w:color w:val="000000"/>
          <w:spacing w:val="0"/>
          <w:w w:val="100"/>
          <w:position w:val="0"/>
          <w:shd w:val="clear" w:color="auto" w:fill="auto"/>
          <w:lang w:val="de-DE" w:eastAsia="de-DE" w:bidi="de-DE"/>
        </w:rPr>
        <w:t xml:space="preserve">Pfarrer </w:t>
      </w:r>
      <w:r>
        <w:rPr>
          <w:rFonts w:ascii="Times New Roman" w:eastAsia="Times New Roman" w:hAnsi="Times New Roman" w:cs="Times New Roman"/>
          <w:color w:val="000000"/>
          <w:spacing w:val="0"/>
          <w:w w:val="100"/>
          <w:position w:val="0"/>
          <w:shd w:val="clear" w:color="auto" w:fill="auto"/>
          <w:lang w:val="en-US" w:eastAsia="en-US" w:bidi="en-US"/>
        </w:rPr>
        <w:t>in Rhenish Prussia. His father intended him for surgery, and he began the study of medicine on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October 1833, when he was a few days short of seventeen. He was an apprentice of Joseph Henry Green, the distinguished surgeon at St Thomas’s, well known for his friendship for Samuel Taylor Coleridge, whose literary executor Green became. He became</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Other forms of the name are Simocattos, Simocatos, Simocates.</w:t>
      </w:r>
    </w:p>
    <w:sectPr>
      <w:footnotePr>
        <w:pos w:val="pageBottom"/>
        <w:numFmt w:val="decimal"/>
        <w:numRestart w:val="continuous"/>
      </w:footnotePr>
      <w:pgSz w:w="12240" w:h="15840"/>
      <w:pgMar w:top="880" w:left="920" w:right="851" w:bottom="5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