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annotated edition of the Prolegomena, and actually added to the </w:t>
      </w:r>
      <w:r>
        <w:rPr>
          <w:rFonts w:ascii="Times New Roman" w:eastAsia="Times New Roman" w:hAnsi="Times New Roman" w:cs="Times New Roman"/>
          <w:i/>
          <w:iCs/>
          <w:color w:val="000000"/>
          <w:spacing w:val="0"/>
          <w:w w:val="100"/>
          <w:position w:val="0"/>
          <w:shd w:val="clear" w:color="auto" w:fill="auto"/>
          <w:lang w:val="en-US" w:eastAsia="en-US" w:bidi="en-US"/>
        </w:rPr>
        <w:t>Critical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a translation of the last four chapters of that work, which had formed no part of his original plan. Simon’s announcement prevented the appearance of the pro</w:t>
        <w:softHyphen/>
        <w:t xml:space="preserve">jected translation, but his enemies were all the more irritated. They had now obtained the opportunity which they had long been seeking. The freedom with which Simon expressed himself on various topics, and especially those chapters in which he declared that Moses could not be the author of much in the writings attributed to him, especially aroused their opposition. The powerful influence of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 xml:space="preserve">at that time tutor to the dauphin, was invoked; the chancellor Michael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Tellier lent his assistance; a decree of the council of state was obtained, and after a series of paltry intrigues the whole impression, consisting of 1300 copies, was seized by the police and destroyed, and the animosity of his colleagues in the Oratory rose to so great a height against Simon that he was declared to be no longer a member of their body. Full of bitterness and disgust, Simon retired in 1679 to the curacy of Bolleville, to which he had been lately appointed by the vicar-general of the abbey of </w:t>
      </w:r>
      <w:r>
        <w:rPr>
          <w:rFonts w:ascii="Times New Roman" w:eastAsia="Times New Roman" w:hAnsi="Times New Roman" w:cs="Times New Roman"/>
          <w:color w:val="000000"/>
          <w:spacing w:val="0"/>
          <w:w w:val="100"/>
          <w:position w:val="0"/>
          <w:shd w:val="clear" w:color="auto" w:fill="auto"/>
          <w:lang w:val="fr-FR" w:eastAsia="fr-FR" w:bidi="fr-FR"/>
        </w:rPr>
        <w:t>Fécamp.</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 thus confiscated in France it was proposed to republish in Holland. Simon, however, at first opposed this, in hopes of overcoming the opposition of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 xml:space="preserve">by making certain changes in the parts objected to. The negotiations with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 xml:space="preserve">lasted a considerable time, but finally failed, and the </w:t>
      </w:r>
      <w:r>
        <w:rPr>
          <w:rFonts w:ascii="Times New Roman" w:eastAsia="Times New Roman" w:hAnsi="Times New Roman" w:cs="Times New Roman"/>
          <w:i/>
          <w:iCs/>
          <w:color w:val="000000"/>
          <w:spacing w:val="0"/>
          <w:w w:val="100"/>
          <w:position w:val="0"/>
          <w:shd w:val="clear" w:color="auto" w:fill="auto"/>
          <w:lang w:val="en-US" w:eastAsia="en-US" w:bidi="en-US"/>
        </w:rPr>
        <w:t>Critical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appeared, with Simon’s name on the title page, in the year 1685, from the press of Reenier Leers in Rotterdam. An imperfect edition had previously been published at Amster</w:t>
        <w:softHyphen/>
        <w:t>dam by Daniel Elzevir, based upon a MS. transcription of one of the copies of the original work which had escaped destruction and had been sent to England, and from which a Latin and an English translation were afterwards made. The edition of Leers was a reproduction of the work as first printed, with a new preface, notes, and those other writings which had appeared for and against the work up to that date.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work consists of three books. The first deals with questions of Biblical criticism, properly so called, such as the text of the Hebrew Bible and the changes which it has undergone down to the present day, the authorship of the Mosaic writings and of other books of the Bible, with an exposition of Simon's peculiar theory of the existence during the whole extent of Jewish history of recorders or annalists of the events of each period, whose writings were pre</w:t>
        <w:softHyphen/>
        <w:t>served in the public archives, and the institution of which he assigns to Moses. The second book gives an account of the principal trans</w:t>
        <w:softHyphen/>
        <w:t xml:space="preserve">lations, ancient and modern, of the Old Testament, and the third contains an examination of the principal commentators. He had, with the exception of the theory above mentioned, contributed nothing really new on the subject of Old Testament criticism, for previous critics as 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Cappel,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Johannes Morinus (1591-1659) and others had established many points of importance, and the value of Simon's work consisted chiefly in bringing together and presenting at one view the results of Old Testament criticism. The work encountered strong opposition, and that not only from the Church of Rome. The Protestants felt their stronghold—an infallible Bible —assailed by the doubts which Simon raised against the integrity of the Hebrew text. J.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Clericus ”) in his work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Sentimens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quelques théologiens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Hollande,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controverted the views of Simon, and was answered by the latter in a tone of considerable asperity in his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Réponse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aux Sentimens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quelques théologiens de Hollande, </w:t>
      </w:r>
      <w:r>
        <w:rPr>
          <w:rFonts w:ascii="Times New Roman" w:eastAsia="Times New Roman" w:hAnsi="Times New Roman" w:cs="Times New Roman"/>
          <w:color w:val="000000"/>
          <w:spacing w:val="0"/>
          <w:w w:val="100"/>
          <w:position w:val="0"/>
          <w:sz w:val="18"/>
          <w:szCs w:val="18"/>
          <w:shd w:val="clear" w:color="auto" w:fill="auto"/>
          <w:lang w:val="en-US" w:eastAsia="en-US" w:bidi="en-US"/>
        </w:rPr>
        <w:t>over the signature “ Pierre Ambrun, ” it being a marked peculiarity of Simon rarely to give his own name.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remaining works of Simon may be briefly noticed. In 1689 appeared his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critique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du texte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du Nouveau Testament,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consisting of thirty-three chapters, in which he discusses the origin and character of the various books, with a consideration of the objections brought against them by the Jews and others, the quotations from the Old Testament in the New., the inspiration of the New Testament (with a refutation of the opinions of Spinoza), the Greek dialect in which they are written (against C. Salmasius), the Greek MSS. known at the time, especially Codex D (Canta- brigiensis), &amp;c. This was followed in 1690 by his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critique des versions du Nouveau Testament,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he gives an account of the various translations, both ancient and modern, and discusses the manner in which many difficult passages of the New Testament have been rendered in the various versions. In 1693 was published what in some respects is the most valuable of all his writings, viz.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critique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des principaux commentateurs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du Nouveau Testament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depuis 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commencement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du Christianisme jusque s à notre temps.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work exhibits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immense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reading, and the information it contains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still valuable to the student. The last work of Simon that we need mention is his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Nouvelles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Observations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sur le texte et les versions du Nouveau Testament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1695), which contains supplementary observations upon the subjects of the text and translations of the New Testament.</w:t>
      </w:r>
    </w:p>
    <w:p>
      <w:pPr>
        <w:pStyle w:val="Style3"/>
        <w:keepNext w:val="0"/>
        <w:keepLines w:val="0"/>
        <w:widowControl w:val="0"/>
        <w:shd w:val="clear" w:color="auto" w:fill="auto"/>
        <w:tabs>
          <w:tab w:pos="3475" w:val="left"/>
          <w:tab w:pos="3691"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controversialist Simon displayed a bitterness which tended only to aggravate the unpleasantness of controversy. He was entirely a man of intellect, free from all tendency to senti</w:t>
        <w:softHyphen/>
        <w:t>mentality, and with a strong vein of sarcasm and satire in his disposition. He died at Dieppe on the 11th of April 1712 at the age of seventy-four.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principal authorities for the life of Simon are the life or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éloge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his grand-nephew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la Martinière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vol. i. of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Lettres choisies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Amsterdam, 1730);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K. H. Graf’s article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first vol.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Beitr.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zu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 theol. Wissensch.,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 (Jena, 1851); E. W. E. Reuss’s article, revised by E. Nestle, in Herzog-Hauck,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Realencyklopädie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 1906)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Richard Simon et son Vieux Testament,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A. Bernus (Lausanne, 1869); H. Margival,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Essai sur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Richard Simon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 critique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biblique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au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XVII</w:t>
      </w:r>
      <w:r>
        <w:rPr>
          <w:rFonts w:ascii="Times New Roman" w:eastAsia="Times New Roman" w:hAnsi="Times New Roman" w:cs="Times New Roman"/>
          <w:i/>
          <w:iCs/>
          <w:color w:val="000000"/>
          <w:spacing w:val="0"/>
          <w:w w:val="100"/>
          <w:position w:val="0"/>
          <w:sz w:val="19"/>
          <w:szCs w:val="19"/>
          <w:shd w:val="clear" w:color="auto" w:fill="auto"/>
          <w:vertAlign w:val="superscript"/>
          <w:lang w:val="fr-FR" w:eastAsia="fr-FR" w:bidi="fr-FR"/>
        </w:rPr>
        <w:t>e</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 siècle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(1900). For the biblio</w:t>
        <w:softHyphen/>
        <w:t xml:space="preserve">graphy, see, in addition to the various editions of Simon’s works, the very complete and accurate account of A. Bernus,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Notice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biblio</w:t>
        <w:softHyphen/>
        <w:t xml:space="preserve">graphique sur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Richard Simon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(Basel, 1882).</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SIMON, THOMAS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1623-1665), English medallist, was bom, according to </w:t>
      </w:r>
      <w:r>
        <w:rPr>
          <w:rFonts w:ascii="Times New Roman" w:eastAsia="Times New Roman" w:hAnsi="Times New Roman" w:cs="Times New Roman"/>
          <w:color w:val="000000"/>
          <w:spacing w:val="0"/>
          <w:w w:val="100"/>
          <w:position w:val="0"/>
          <w:shd w:val="clear" w:color="auto" w:fill="auto"/>
          <w:lang w:val="de-DE" w:eastAsia="de-DE" w:bidi="de-DE"/>
        </w:rPr>
        <w:t xml:space="preserve">Vertue, </w:t>
      </w:r>
      <w:r>
        <w:rPr>
          <w:rFonts w:ascii="Times New Roman" w:eastAsia="Times New Roman" w:hAnsi="Times New Roman" w:cs="Times New Roman"/>
          <w:color w:val="000000"/>
          <w:spacing w:val="0"/>
          <w:w w:val="100"/>
          <w:position w:val="0"/>
          <w:shd w:val="clear" w:color="auto" w:fill="auto"/>
          <w:lang w:val="en-US" w:eastAsia="en-US" w:bidi="en-US"/>
        </w:rPr>
        <w:t>in Yorkshire about 1623. He studied engraving under Nicholas Briot, and about 1635 received a post in connexion with the Mint. In 1645 he was appointed by the parliament joint chief engraver along with Edward Wade, and, having executed the great seal of the Commonwealth and dies for the coinage, he was promoted to be chief engraver to the mint and seals. He produced several fine portrait medals of Cromwell, one of which is copied from a miniature by Cooper. After the Restoration he was appointed engraver of the king’s seals. On the occasion of his contest with the brothers Roettiers, who were employed by the mint in 1662, Simon produced his celebrated crown of Charles II., on the margin of which he engraved a petition to the king. This is usually considered his masterpiece. He is believed to have died of the plague in London in 1665.</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volume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Medals, Coins, Great Seals and other Works of Thomas Simon, engraved and described by George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Vertue,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published in 1753.</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SIMON BEN YOHAI </w:t>
      </w:r>
      <w:r>
        <w:rPr>
          <w:rFonts w:ascii="Times New Roman" w:eastAsia="Times New Roman" w:hAnsi="Times New Roman" w:cs="Times New Roman"/>
          <w:color w:val="000000"/>
          <w:spacing w:val="0"/>
          <w:w w:val="100"/>
          <w:position w:val="0"/>
          <w:shd w:val="clear" w:color="auto" w:fill="auto"/>
          <w:lang w:val="en-US" w:eastAsia="en-US" w:bidi="en-US"/>
        </w:rPr>
        <w:t xml:space="preserve">(2nd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 Galilean Rabbi, one of the most eminent disciples of Aqiba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His master was executed by Hadrian, and Simon’s anti-Roman sentiments led to his own condemnation by Varus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161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Graetz). He escaped this doom and dwelt for some years in a cavern. Emerging from concealment, Simon settled in Tiberias and in other Galilean cities. He acquired a reputation as a worker of miracles, and on this ground was sent to Rome as an envoy, where (legend tells) he exorcised from the emperor’s daughter a demon who had obligingly entered the lady to enable Simon to effect his miracle. This Rabbi bore a large part in the fixation of law, and his decisions are frequently quoted. To him were attributed the important legal homilies called </w:t>
      </w:r>
      <w:r>
        <w:rPr>
          <w:rFonts w:ascii="Times New Roman" w:eastAsia="Times New Roman" w:hAnsi="Times New Roman" w:cs="Times New Roman"/>
          <w:i/>
          <w:iCs/>
          <w:color w:val="000000"/>
          <w:spacing w:val="0"/>
          <w:w w:val="100"/>
          <w:position w:val="0"/>
          <w:shd w:val="clear" w:color="auto" w:fill="auto"/>
          <w:lang w:val="en-US" w:eastAsia="en-US" w:bidi="en-US"/>
        </w:rPr>
        <w:t>Sifre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Mekhilta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Midrash),</w:t>
      </w:r>
      <w:r>
        <w:rPr>
          <w:rFonts w:ascii="Times New Roman" w:eastAsia="Times New Roman" w:hAnsi="Times New Roman" w:cs="Times New Roman"/>
          <w:color w:val="000000"/>
          <w:spacing w:val="0"/>
          <w:w w:val="100"/>
          <w:position w:val="0"/>
          <w:shd w:val="clear" w:color="auto" w:fill="auto"/>
          <w:lang w:val="en-US" w:eastAsia="en-US" w:bidi="en-US"/>
        </w:rPr>
        <w:t xml:space="preserve"> and above all the </w:t>
      </w:r>
      <w:r>
        <w:rPr>
          <w:rFonts w:ascii="Times New Roman" w:eastAsia="Times New Roman" w:hAnsi="Times New Roman" w:cs="Times New Roman"/>
          <w:i/>
          <w:iCs/>
          <w:color w:val="000000"/>
          <w:spacing w:val="0"/>
          <w:w w:val="100"/>
          <w:position w:val="0"/>
          <w:shd w:val="clear" w:color="auto" w:fill="auto"/>
          <w:lang w:val="en-US" w:eastAsia="en-US" w:bidi="en-US"/>
        </w:rPr>
        <w:t>Zohar</w:t>
      </w:r>
      <w:r>
        <w:rPr>
          <w:rFonts w:ascii="Times New Roman" w:eastAsia="Times New Roman" w:hAnsi="Times New Roman" w:cs="Times New Roman"/>
          <w:color w:val="000000"/>
          <w:spacing w:val="0"/>
          <w:w w:val="100"/>
          <w:position w:val="0"/>
          <w:shd w:val="clear" w:color="auto" w:fill="auto"/>
          <w:lang w:val="en-US" w:eastAsia="en-US" w:bidi="en-US"/>
        </w:rPr>
        <w:t>, the Bible of the Kabbalah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This latter ascription is altogether unfounded, the real author of this mystical commentary on the Pentateuch being Moses of Leon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418" w:val="left"/>
        </w:tabs>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fullest account of Simon’s teachings is to be found in W. Bacher’s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Agada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Tannaiten,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ρρ. 70-149.</w:t>
        <w:tab/>
        <w:t>(1. 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SIMON OF ST QUENTIN (fl.</w:t>
      </w:r>
      <w:r>
        <w:rPr>
          <w:rFonts w:ascii="Times New Roman" w:eastAsia="Times New Roman" w:hAnsi="Times New Roman" w:cs="Times New Roman"/>
          <w:color w:val="000000"/>
          <w:spacing w:val="0"/>
          <w:w w:val="100"/>
          <w:position w:val="0"/>
          <w:shd w:val="clear" w:color="auto" w:fill="auto"/>
          <w:lang w:val="en-US" w:eastAsia="en-US" w:bidi="en-US"/>
        </w:rPr>
        <w:t xml:space="preserve"> 1247), Dominican mission</w:t>
        <w:softHyphen/>
        <w:t xml:space="preserve">traveller and diplomatist. He accompanied, and wrote the history of, the Dominican embassy [under Friar Ascelin or Anselm, which Pope Innocent IV. sent in 1247 to the Mongols of Armenia and Persia. Simon’s history, in its original* form, is lost; but large sections of it have been preserved in Vincent of Beauvais’s </w:t>
      </w:r>
      <w:r>
        <w:rPr>
          <w:rFonts w:ascii="Times New Roman" w:eastAsia="Times New Roman" w:hAnsi="Times New Roman" w:cs="Times New Roman"/>
          <w:i/>
          <w:iCs/>
          <w:color w:val="000000"/>
          <w:spacing w:val="0"/>
          <w:w w:val="100"/>
          <w:position w:val="0"/>
          <w:shd w:val="clear" w:color="auto" w:fill="auto"/>
          <w:lang w:val="en-US" w:eastAsia="en-US" w:bidi="en-US"/>
        </w:rPr>
        <w:t>Speculum historiale,</w:t>
      </w:r>
      <w:r>
        <w:rPr>
          <w:rFonts w:ascii="Times New Roman" w:eastAsia="Times New Roman" w:hAnsi="Times New Roman" w:cs="Times New Roman"/>
          <w:color w:val="000000"/>
          <w:spacing w:val="0"/>
          <w:w w:val="100"/>
          <w:position w:val="0"/>
          <w:shd w:val="clear" w:color="auto" w:fill="auto"/>
          <w:lang w:val="en-US" w:eastAsia="en-US" w:bidi="en-US"/>
        </w:rPr>
        <w:t xml:space="preserve"> where nineteen chapters are expressly said to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libello fratris </w:t>
      </w:r>
      <w:r>
        <w:rPr>
          <w:rFonts w:ascii="Times New Roman" w:eastAsia="Times New Roman" w:hAnsi="Times New Roman" w:cs="Times New Roman"/>
          <w:i/>
          <w:iCs/>
          <w:color w:val="000000"/>
          <w:spacing w:val="0"/>
          <w:w w:val="100"/>
          <w:position w:val="0"/>
          <w:shd w:val="clear" w:color="auto" w:fill="auto"/>
          <w:lang w:val="de-DE" w:eastAsia="de-DE" w:bidi="de-DE"/>
        </w:rPr>
        <w:t>Simonis,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entitled </w:t>
      </w:r>
      <w:r>
        <w:rPr>
          <w:rFonts w:ascii="Times New Roman" w:eastAsia="Times New Roman" w:hAnsi="Times New Roman" w:cs="Times New Roman"/>
          <w:i/>
          <w:iCs/>
          <w:color w:val="000000"/>
          <w:spacing w:val="0"/>
          <w:w w:val="100"/>
          <w:position w:val="0"/>
          <w:shd w:val="clear" w:color="auto" w:fill="auto"/>
          <w:lang w:val="en-US" w:eastAsia="en-US" w:bidi="en-US"/>
        </w:rPr>
        <w:t>frater Simon.</w:t>
      </w:r>
      <w:r>
        <w:rPr>
          <w:rFonts w:ascii="Times New Roman" w:eastAsia="Times New Roman" w:hAnsi="Times New Roman" w:cs="Times New Roman"/>
          <w:color w:val="000000"/>
          <w:spacing w:val="0"/>
          <w:w w:val="100"/>
          <w:position w:val="0"/>
          <w:shd w:val="clear" w:color="auto" w:fill="auto"/>
          <w:lang w:val="en-US" w:eastAsia="en-US" w:bidi="en-US"/>
        </w:rPr>
        <w:t xml:space="preserve"> The embassy of Ascelin and Simon, who were ac</w:t>
        <w:softHyphen/>
        <w:t xml:space="preserve">companied by Andrew of </w:t>
      </w:r>
      <w:r>
        <w:rPr>
          <w:rFonts w:ascii="Times New Roman" w:eastAsia="Times New Roman" w:hAnsi="Times New Roman" w:cs="Times New Roman"/>
          <w:color w:val="000000"/>
          <w:spacing w:val="0"/>
          <w:w w:val="100"/>
          <w:position w:val="0"/>
          <w:shd w:val="clear" w:color="auto" w:fill="auto"/>
          <w:lang w:val="fr-FR" w:eastAsia="fr-FR" w:bidi="fr-FR"/>
        </w:rPr>
        <w:t xml:space="preserve">Longjumeau, </w:t>
      </w:r>
      <w:r>
        <w:rPr>
          <w:rFonts w:ascii="Times New Roman" w:eastAsia="Times New Roman" w:hAnsi="Times New Roman" w:cs="Times New Roman"/>
          <w:color w:val="000000"/>
          <w:spacing w:val="0"/>
          <w:w w:val="100"/>
          <w:position w:val="0"/>
          <w:shd w:val="clear" w:color="auto" w:fill="auto"/>
          <w:lang w:val="en-US" w:eastAsia="en-US" w:bidi="en-US"/>
        </w:rPr>
        <w:t xml:space="preserve">proceeded to the camp of Baiju or Bachu </w:t>
      </w:r>
      <w:r>
        <w:rPr>
          <w:rFonts w:ascii="Times New Roman" w:eastAsia="Times New Roman" w:hAnsi="Times New Roman" w:cs="Times New Roman"/>
          <w:i/>
          <w:iCs/>
          <w:color w:val="000000"/>
          <w:spacing w:val="0"/>
          <w:w w:val="100"/>
          <w:position w:val="0"/>
          <w:shd w:val="clear" w:color="auto" w:fill="auto"/>
          <w:lang w:val="en-US" w:eastAsia="en-US" w:bidi="en-US"/>
        </w:rPr>
        <w:t>Noyan (i.e. "</w:t>
      </w:r>
      <w:r>
        <w:rPr>
          <w:rFonts w:ascii="Times New Roman" w:eastAsia="Times New Roman" w:hAnsi="Times New Roman" w:cs="Times New Roman"/>
          <w:color w:val="000000"/>
          <w:spacing w:val="0"/>
          <w:w w:val="100"/>
          <w:position w:val="0"/>
          <w:shd w:val="clear" w:color="auto" w:fill="auto"/>
          <w:lang w:val="en-US" w:eastAsia="en-US" w:bidi="en-US"/>
        </w:rPr>
        <w:t xml:space="preserve">General ” Baiju, </w:t>
      </w:r>
      <w:r>
        <w:rPr>
          <w:rFonts w:ascii="Times New Roman" w:eastAsia="Times New Roman" w:hAnsi="Times New Roman" w:cs="Times New Roman"/>
          <w:i/>
          <w:iCs/>
          <w:color w:val="000000"/>
          <w:spacing w:val="0"/>
          <w:w w:val="100"/>
          <w:position w:val="0"/>
          <w:shd w:val="clear" w:color="auto" w:fill="auto"/>
          <w:lang w:val="en-US" w:eastAsia="en-US" w:bidi="en-US"/>
        </w:rPr>
        <w:t>Noyan</w:t>
      </w:r>
      <w:r>
        <w:rPr>
          <w:rFonts w:ascii="Times New Roman" w:eastAsia="Times New Roman" w:hAnsi="Times New Roman" w:cs="Times New Roman"/>
          <w:color w:val="000000"/>
          <w:spacing w:val="0"/>
          <w:w w:val="100"/>
          <w:position w:val="0"/>
          <w:shd w:val="clear" w:color="auto" w:fill="auto"/>
          <w:lang w:val="en-US" w:eastAsia="en-US" w:bidi="en-US"/>
        </w:rPr>
        <w:t xml:space="preserve"> signify</w:t>
        <w:softHyphen/>
        <w:t xml:space="preserve">ing a commander of 10,000) at </w:t>
      </w:r>
      <w:r>
        <w:rPr>
          <w:rFonts w:ascii="Times New Roman" w:eastAsia="Times New Roman" w:hAnsi="Times New Roman" w:cs="Times New Roman"/>
          <w:i/>
          <w:iCs/>
          <w:color w:val="000000"/>
          <w:spacing w:val="0"/>
          <w:w w:val="100"/>
          <w:position w:val="0"/>
          <w:shd w:val="clear" w:color="auto" w:fill="auto"/>
          <w:lang w:val="en-US" w:eastAsia="en-US" w:bidi="en-US"/>
        </w:rPr>
        <w:t>Sitiens</w:t>
      </w:r>
      <w:r>
        <w:rPr>
          <w:rFonts w:ascii="Times New Roman" w:eastAsia="Times New Roman" w:hAnsi="Times New Roman" w:cs="Times New Roman"/>
          <w:color w:val="000000"/>
          <w:spacing w:val="0"/>
          <w:w w:val="100"/>
          <w:position w:val="0"/>
          <w:shd w:val="clear" w:color="auto" w:fill="auto"/>
          <w:lang w:val="en-US" w:eastAsia="en-US" w:bidi="en-US"/>
        </w:rPr>
        <w:t xml:space="preserve"> in Armenia, lying between the Aras river and Lake Gokcha, fifty-nine days’ journey from Acre. The papal letters were translated into Persian, and thence into Mongol, and so presented to Baiju; but the Tatars were greatly irritated by the haughtiness of the Dominicans,</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