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facet for the articulation of the fin. This of course is the glenoid cavity. In some forms,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shark Heptanchus, there is a perforation in the ventral part of the bar on each side, which possibly indicates the division between the precoracoid and coracoid elements.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many of the bony fish (Teleostei) the outline is obscured by a</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series of bones which connect the girdle with the skull and may be the precursors of the clavicle.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Amphibia the dorsally-placed scapula (fig. 27, S) has more dorsally still a cartilaginous plate, the supra-scapula (fig. 27, S.S), which may be calcified. The precoracoid (fig. 27, P.C) and coracoid (C) are quite distinct, the former being in front (cephalad) and over</w:t>
        <w:softHyphen/>
        <w:t xml:space="preserve">laid by a dermal bone, the clavicle (Cl). The attachment of the coracoids to. the sternum has been noticed in section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Axial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this article. Uniting the ventral ends of the precoracoid and coracoid is the epicoracoid on each side (fig. 27, E.C).</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Reptilia the same general plan is evident, but in the lizards</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ventral ends of the two clavicles are united by a median dagger</w:t>
        <w:softHyphen/>
        <w:t xml:space="preserve">like dermal bone,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interclavicle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(fig. 27, 1.C), which lies on a plane superficial to the sternum and epicoracoids.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birds the scapula has the shape of a sabre blade, and there is a rudimentary acromion process, though this is also indicated in some</w:t>
      </w:r>
    </w:p>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reptiles. The pre- and epi-coracoids are aborted, but the coracoids are very strong. The clavicles and interclavicle unite into a V- shaped bar which forms the furcula or “ merrythought.”</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Mammalia the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Monotremata </w:t>
      </w:r>
      <w:r>
        <w:rPr>
          <w:rFonts w:ascii="Times New Roman" w:eastAsia="Times New Roman" w:hAnsi="Times New Roman" w:cs="Times New Roman"/>
          <w:color w:val="000000"/>
          <w:spacing w:val="0"/>
          <w:w w:val="100"/>
          <w:position w:val="0"/>
          <w:sz w:val="18"/>
          <w:szCs w:val="18"/>
          <w:shd w:val="clear" w:color="auto" w:fill="auto"/>
          <w:lang w:val="en-US" w:eastAsia="en-US" w:bidi="en-US"/>
        </w:rPr>
        <w:t>(Ornithorhynchus and Echidna) retain the reptilian arrangement of large coracoids and epicora</w:t>
        <w:softHyphen/>
        <w:t>coids articulating with the sternum, while the clavicles and inter</w:t>
        <w:softHyphen/>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clavicle are also largely developed; the scapula too is more bird</w:t>
        <w:softHyphen/>
        <w:t>like in shape than mammalian. In the higher mammals the scapula develops a spine and usually an acromial process, and has a triangular outline. As long as the forelimb is used for support, the vertebral border is the shortest of the three, and the long axis of the bone runs from this border to the glenoid cavity; but when the extremity is used for prehension, as in the Primates, or for flight, as in the Chir- optera, the vertebral border elongates and the distance from it to the glenoid cavity decreases so that the long axis is now parallel with that of the body instead of being transverse.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Above the monotremes too the coracoid becomes a mere knob for muscles, and no longer articu</w:t>
        <w:softHyphen/>
        <w:t xml:space="preserve">lates with the sternum. There is thus a sudden transition from the way in which the forepart of the body is propped up on the forelimbs when the coracoid is functional (as in reptiles) to the way in which it is suspended like a suspension bridge between the two scapulae in pronograde mammals,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serrat</w:t>
      </w:r>
      <w:r>
        <w:rPr>
          <w:rFonts w:ascii="Times New Roman" w:eastAsia="Times New Roman" w:hAnsi="Times New Roman" w:cs="Times New Roman"/>
          <w:color w:val="000000"/>
          <w:spacing w:val="0"/>
          <w:w w:val="100"/>
          <w:position w:val="0"/>
          <w:sz w:val="18"/>
          <w:szCs w:val="18"/>
          <w:shd w:val="clear" w:color="auto" w:fill="auto"/>
          <w:lang w:val="en-US" w:eastAsia="en-US" w:bidi="en-US"/>
        </w:rPr>
        <w:t>us magnus muscles form</w:t>
        <w:softHyphen/>
        <w:t>ing the chains of the bridge (see fig. 28).</w:t>
      </w:r>
    </w:p>
    <w:p>
      <w:pPr>
        <w:pStyle w:val="Style3"/>
        <w:keepNext w:val="0"/>
        <w:keepLines w:val="0"/>
        <w:widowControl w:val="0"/>
        <w:shd w:val="clear" w:color="auto" w:fill="auto"/>
        <w:tabs>
          <w:tab w:pos="3242" w:val="left"/>
          <w:tab w:pos="4289" w:val="left"/>
        </w:tabs>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clavicle is often entirely suppressed in mammals; this is the case in most of the Ursidae, all the Pinnipedia, Manis among edentates, the Cetacea, Sirenia, all Ungulata and some of the Rodentia. It is complete in all the Primates, Chiroptera,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Insectivore </w:t>
      </w:r>
      <w:r>
        <w:rPr>
          <w:rFonts w:ascii="Times New Roman" w:eastAsia="Times New Roman" w:hAnsi="Times New Roman" w:cs="Times New Roman"/>
          <w:color w:val="000000"/>
          <w:spacing w:val="0"/>
          <w:w w:val="100"/>
          <w:position w:val="0"/>
          <w:sz w:val="18"/>
          <w:szCs w:val="18"/>
          <w:shd w:val="clear" w:color="auto" w:fill="auto"/>
          <w:lang w:val="en-US" w:eastAsia="en-US" w:bidi="en-US"/>
        </w:rPr>
        <w:t>(except Potamogale), many of the Rodentia, most Edentata, and all the Marsupialia except Perameles. In the Monotre</w:t>
        <w:softHyphen/>
        <w:t>ma</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ta </w:t>
      </w:r>
      <w:r>
        <w:rPr>
          <w:rFonts w:ascii="Times New Roman" w:eastAsia="Times New Roman" w:hAnsi="Times New Roman" w:cs="Times New Roman"/>
          <w:color w:val="000000"/>
          <w:spacing w:val="0"/>
          <w:w w:val="100"/>
          <w:position w:val="0"/>
          <w:sz w:val="18"/>
          <w:szCs w:val="18"/>
          <w:shd w:val="clear" w:color="auto" w:fill="auto"/>
          <w:lang w:val="en-US" w:eastAsia="en-US" w:bidi="en-US"/>
        </w:rPr>
        <w:t>it is fused with a well- developed interclavicle, but in other mammals the inter</w:t>
        <w:softHyphen/>
        <w:t>clavicle is either suppressed or possibly represented by the sternal epiphysis of the clavicle of the Primates. The pre</w:t>
        <w:softHyphen/>
        <w:t>coracoid as a distinct structure</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entirely disappears, though vestiges of it may remain in the cartilaginous parts of the clavicle.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chief modifications of the humerus are the development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Pectoral ridge,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is large whenever the pectoral muscles are strong, and is represented in man by the outer lip of the bicipital groove and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supracondylar foramina.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tuatera lizard (Sphenodon)</w:t>
      </w:r>
    </w:p>
    <w:p>
      <w:pPr>
        <w:widowControl w:val="0"/>
        <w:spacing w:line="1" w:lineRule="exact"/>
      </w:pPr>
    </w:p>
    <w:sectPr>
      <w:footnotePr>
        <w:pos w:val="pageBottom"/>
        <w:numFmt w:val="decimal"/>
        <w:numRestart w:val="continuous"/>
      </w:footnotePr>
      <w:type w:val="continuous"/>
      <w:pgSz w:w="12240" w:h="15840"/>
      <w:pgMar w:top="838" w:left="955" w:right="859" w:bottom="7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