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misplaced, for both the satires on the cardinal are of earlier date.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Skelton also wrote three plays, only one of which survives. </w:t>
      </w:r>
      <w:r>
        <w:rPr>
          <w:rFonts w:ascii="Times New Roman" w:eastAsia="Times New Roman" w:hAnsi="Times New Roman" w:cs="Times New Roman"/>
          <w:i/>
          <w:iCs/>
          <w:color w:val="000000"/>
          <w:spacing w:val="0"/>
          <w:w w:val="100"/>
          <w:position w:val="0"/>
          <w:shd w:val="clear" w:color="auto" w:fill="auto"/>
          <w:lang w:val="en-US" w:eastAsia="en-US" w:bidi="en-US"/>
        </w:rPr>
        <w:t>Magnificence</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best examples of the morality play. It deals with the same topic as his satires, the evils of ambition; its moral, “ how suddenly worldly wealth doth decay" being a favourite one with him. Thomas Warton in his </w:t>
      </w:r>
      <w:r>
        <w:rPr>
          <w:rFonts w:ascii="Times New Roman" w:eastAsia="Times New Roman" w:hAnsi="Times New Roman" w:cs="Times New Roman"/>
          <w:i/>
          <w:iCs/>
          <w:color w:val="000000"/>
          <w:spacing w:val="0"/>
          <w:w w:val="100"/>
          <w:position w:val="0"/>
          <w:shd w:val="clear" w:color="auto" w:fill="auto"/>
          <w:lang w:val="en-US" w:eastAsia="en-US" w:bidi="en-US"/>
        </w:rPr>
        <w:t>History of English Poetry</w:t>
      </w:r>
      <w:r>
        <w:rPr>
          <w:rFonts w:ascii="Times New Roman" w:eastAsia="Times New Roman" w:hAnsi="Times New Roman" w:cs="Times New Roman"/>
          <w:color w:val="000000"/>
          <w:spacing w:val="0"/>
          <w:w w:val="100"/>
          <w:position w:val="0"/>
          <w:shd w:val="clear" w:color="auto" w:fill="auto"/>
          <w:lang w:val="en-US" w:eastAsia="en-US" w:bidi="en-US"/>
        </w:rPr>
        <w:t xml:space="preserve"> described another piece </w:t>
      </w:r>
      <w:r>
        <w:rPr>
          <w:rFonts w:ascii="Times New Roman" w:eastAsia="Times New Roman" w:hAnsi="Times New Roman" w:cs="Times New Roman"/>
          <w:i/>
          <w:iCs/>
          <w:color w:val="000000"/>
          <w:spacing w:val="0"/>
          <w:w w:val="100"/>
          <w:position w:val="0"/>
          <w:shd w:val="clear" w:color="auto" w:fill="auto"/>
          <w:lang w:val="en-US" w:eastAsia="en-US" w:bidi="en-US"/>
        </w:rPr>
        <w:t>Nigramansir,</w:t>
      </w:r>
      <w:r>
        <w:rPr>
          <w:rFonts w:ascii="Times New Roman" w:eastAsia="Times New Roman" w:hAnsi="Times New Roman" w:cs="Times New Roman"/>
          <w:color w:val="000000"/>
          <w:spacing w:val="0"/>
          <w:w w:val="100"/>
          <w:position w:val="0"/>
          <w:shd w:val="clear" w:color="auto" w:fill="auto"/>
          <w:lang w:val="en-US" w:eastAsia="en-US" w:bidi="en-US"/>
        </w:rPr>
        <w:t xml:space="preserve"> printed by Wynkyn de Worde in 1504, and dealing with simony and the love of money in the church; but no copy is known to exist, and some suspicion has been cast on Warton’s statement.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Illustration of the hold Skelton had on the public imagination is supplied from the stage. A play (1600) called </w:t>
      </w:r>
      <w:r>
        <w:rPr>
          <w:rFonts w:ascii="Times New Roman" w:eastAsia="Times New Roman" w:hAnsi="Times New Roman" w:cs="Times New Roman"/>
          <w:i/>
          <w:iCs/>
          <w:color w:val="000000"/>
          <w:spacing w:val="0"/>
          <w:w w:val="100"/>
          <w:position w:val="0"/>
          <w:shd w:val="clear" w:color="auto" w:fill="auto"/>
          <w:lang w:val="en-US" w:eastAsia="en-US" w:bidi="en-US"/>
        </w:rPr>
        <w:t>Scogan and Skelton,</w:t>
      </w:r>
      <w:r>
        <w:rPr>
          <w:rFonts w:ascii="Times New Roman" w:eastAsia="Times New Roman" w:hAnsi="Times New Roman" w:cs="Times New Roman"/>
          <w:color w:val="000000"/>
          <w:spacing w:val="0"/>
          <w:w w:val="100"/>
          <w:position w:val="0"/>
          <w:shd w:val="clear" w:color="auto" w:fill="auto"/>
          <w:lang w:val="en-US" w:eastAsia="en-US" w:bidi="en-US"/>
        </w:rPr>
        <w:t xml:space="preserve"> by Richard Hathway and William Rankins, is mentioned by Henslowe. In Anthony Munday’s </w:t>
      </w:r>
      <w:r>
        <w:rPr>
          <w:rFonts w:ascii="Times New Roman" w:eastAsia="Times New Roman" w:hAnsi="Times New Roman" w:cs="Times New Roman"/>
          <w:i/>
          <w:iCs/>
          <w:color w:val="000000"/>
          <w:spacing w:val="0"/>
          <w:w w:val="100"/>
          <w:position w:val="0"/>
          <w:shd w:val="clear" w:color="auto" w:fill="auto"/>
          <w:lang w:val="en-US" w:eastAsia="en-US" w:bidi="en-US"/>
        </w:rPr>
        <w:t>Downfall of Robert, earl of Huntingdon,</w:t>
      </w:r>
      <w:r>
        <w:rPr>
          <w:rFonts w:ascii="Times New Roman" w:eastAsia="Times New Roman" w:hAnsi="Times New Roman" w:cs="Times New Roman"/>
          <w:color w:val="000000"/>
          <w:spacing w:val="0"/>
          <w:w w:val="100"/>
          <w:position w:val="0"/>
          <w:shd w:val="clear" w:color="auto" w:fill="auto"/>
          <w:lang w:val="en-US" w:eastAsia="en-US" w:bidi="en-US"/>
        </w:rPr>
        <w:t xml:space="preserve"> Skelton acts the part of Friar Tuck, and Ben Jonson in his masque, </w:t>
      </w:r>
      <w:r>
        <w:rPr>
          <w:rFonts w:ascii="Times New Roman" w:eastAsia="Times New Roman" w:hAnsi="Times New Roman" w:cs="Times New Roman"/>
          <w:i/>
          <w:iCs/>
          <w:color w:val="000000"/>
          <w:spacing w:val="0"/>
          <w:w w:val="100"/>
          <w:position w:val="0"/>
          <w:shd w:val="clear" w:color="auto" w:fill="auto"/>
          <w:lang w:val="en-US" w:eastAsia="en-US" w:bidi="en-US"/>
        </w:rPr>
        <w:t>The Fortunate Isles,</w:t>
      </w:r>
      <w:r>
        <w:rPr>
          <w:rFonts w:ascii="Times New Roman" w:eastAsia="Times New Roman" w:hAnsi="Times New Roman" w:cs="Times New Roman"/>
          <w:color w:val="000000"/>
          <w:spacing w:val="0"/>
          <w:w w:val="100"/>
          <w:position w:val="0"/>
          <w:shd w:val="clear" w:color="auto" w:fill="auto"/>
          <w:lang w:val="en-US" w:eastAsia="en-US" w:bidi="en-US"/>
        </w:rPr>
        <w:t xml:space="preserve"> introduced "Skogan and Skelton in like habits as they lived.”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few of Skelton’s productions are dated, and their titles are here necessarily abbreviated. Wynkyn de Worde printed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Bowge of Court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twice.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Divers Balettys and dyties sotacious devysed by Master Skelton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Laureat,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Skelton Laureate agaynste a comely Coystroune. .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have no date or printer’s name, but are evidently from the press of Richard Pynson, who also printed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Replycacion against certain yong scoters,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dedicated to Wolsey.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Garlande or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Chapelet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 Laurell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printed by Richard Faukes (1523);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Magnificence, A goodly interlude,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 probably by John Rastell about 1533, reprinted (1821) for the Roxburghe Club.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Hereafter foloweth the Boke of Phyllyp Sparowe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printed by Richard Kele (1550 ?), Robert Toy, Antony Kitson (1560?), Abraham Veale (1570?), John Walley, John Wyght (1560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Hereafter foloweth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certaine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bokes compyled by mayster Skelton .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including “ Speke, Parrot,” “ Ware the Hawke,” “ Ely- noure Rummynge ” and others, was printed by Richard Lant (1550?), John King and Thomas March (1565 ?), by John Day (1560).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Here</w:t>
        <w:softHyphen/>
        <w:t xml:space="preserve">after foloweth 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litte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boke called Colyn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Cloute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Hereafter . . . why come ye nat to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Courte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printed by Richard Kele (1550 ?) and in numerous subsequent editions.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Pithy, plesaunt and profitable workes of maister Skelton, Poete Laureate. Nowe collected and newly published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printed in 1568, and reprinted in 1736. A scarce reprint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Elinour Rummin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Samuel Rand appeared in 1624.</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Poetical Works of John Skelton; with Notes and some account of the author and his writings,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Rev. Alexander Dyce (2 vols., 1843). A selection of his works was edited by W. H. Williams (London, 1902). See also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Charakteristik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John Skeltons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Dr Arthur Koelbing (Stuttgart, 1904) ; F. Brie, “ Skelton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Studien”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Englische Studien,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38 (Heilbronn, 1877, etc.); A. Rey,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Skelton's Satirical Poems .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(Berne, 1899); A. Thümmel,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Studien 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John Skelton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(Leipzig-Reudnitz,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Saintsbury,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of Eng. Prosody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1906); and A. Kölbing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Cambridge History of English 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iii., 1909).</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SKELTON AND BROTTON, </w:t>
      </w:r>
      <w:r>
        <w:rPr>
          <w:rFonts w:ascii="Times New Roman" w:eastAsia="Times New Roman" w:hAnsi="Times New Roman" w:cs="Times New Roman"/>
          <w:color w:val="000000"/>
          <w:spacing w:val="0"/>
          <w:w w:val="100"/>
          <w:position w:val="0"/>
          <w:shd w:val="clear" w:color="auto" w:fill="auto"/>
          <w:lang w:val="en-US" w:eastAsia="en-US" w:bidi="en-US"/>
        </w:rPr>
        <w:t>an urban district in the Cleveland parliamentary division of the North Riding of Yorkshire, England, 17 m. E. by S. of Middlesbrough by a branch of the North-Eastern railway, with stations at Brotton and North Skelton. Pop. (1901) 13,240. This is one of the largest town</w:t>
        <w:softHyphen/>
        <w:t xml:space="preserve">ships in the Cleveland ironstone district, and its industrial population is wholly employed in the quarries. The modern Skelton Castle incorporates part of the ancient stronghold of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Brus </w:t>
      </w:r>
      <w:r>
        <w:rPr>
          <w:rFonts w:ascii="Times New Roman" w:eastAsia="Times New Roman" w:hAnsi="Times New Roman" w:cs="Times New Roman"/>
          <w:color w:val="000000"/>
          <w:spacing w:val="0"/>
          <w:w w:val="100"/>
          <w:position w:val="0"/>
          <w:shd w:val="clear" w:color="auto" w:fill="auto"/>
          <w:lang w:val="en-US" w:eastAsia="en-US" w:bidi="en-US"/>
        </w:rPr>
        <w:t>who held it from William the Conqueror. A modern church replaces the ancient one, of which there are ruins, and a fine Norman font is preserved. The large ironstone quarries have not wholly destroyed the beauty of the district. The Cleveland hills rise sharply southward, to elevations some</w:t>
        <w:softHyphen/>
        <w:t>times exceeding 1000 ft., and are scored with deep and picturesque glens. On the coast, which is cliff-bound and fine, is the watering- place of Saltburn by the Sea.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SKENE, WILLIAM FORBES </w:t>
      </w:r>
      <w:r>
        <w:rPr>
          <w:rFonts w:ascii="Times New Roman" w:eastAsia="Times New Roman" w:hAnsi="Times New Roman" w:cs="Times New Roman"/>
          <w:color w:val="000000"/>
          <w:spacing w:val="0"/>
          <w:w w:val="100"/>
          <w:position w:val="0"/>
          <w:shd w:val="clear" w:color="auto" w:fill="auto"/>
          <w:lang w:val="en-US" w:eastAsia="en-US" w:bidi="en-US"/>
        </w:rPr>
        <w:t xml:space="preserve">(1809-1892), Scottish historian and antiquary, was the second son of Sir Walter Scott’s friend, James Skene (1775-1864), of Rubislaw, near Aberdeen, and was born on the 7th of June 1809. He was educated at Edinburgh High School, in Germany and at the university of St Andrews, taking an especial interest in the study of Celtic philology and literature. In 1832 he became a writer to the signet, and shortly afterwards obtained an official appointment in the bill department of the Court of Session, which he held until 1865. His early interest in the history and antiquities of the Scottish Highlands bore its first fruit in 1837, when he published </w:t>
      </w:r>
      <w:r>
        <w:rPr>
          <w:rFonts w:ascii="Times New Roman" w:eastAsia="Times New Roman" w:hAnsi="Times New Roman" w:cs="Times New Roman"/>
          <w:i/>
          <w:iCs/>
          <w:color w:val="000000"/>
          <w:spacing w:val="0"/>
          <w:w w:val="100"/>
          <w:position w:val="0"/>
          <w:shd w:val="clear" w:color="auto" w:fill="auto"/>
          <w:lang w:val="en-US" w:eastAsia="en-US" w:bidi="en-US"/>
        </w:rPr>
        <w:t>The Highlanders of Scotland, their Origin, History and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His chief work, </w:t>
      </w:r>
      <w:r>
        <w:rPr>
          <w:rFonts w:ascii="Times New Roman" w:eastAsia="Times New Roman" w:hAnsi="Times New Roman" w:cs="Times New Roman"/>
          <w:color w:val="000000"/>
          <w:spacing w:val="0"/>
          <w:w w:val="100"/>
          <w:position w:val="0"/>
          <w:shd w:val="clear" w:color="auto" w:fill="auto"/>
          <w:lang w:val="en-US" w:eastAsia="en-US" w:bidi="en-US"/>
        </w:rPr>
        <w:t xml:space="preserve">however, is his </w:t>
      </w:r>
      <w:r>
        <w:rPr>
          <w:rFonts w:ascii="Times New Roman" w:eastAsia="Times New Roman" w:hAnsi="Times New Roman" w:cs="Times New Roman"/>
          <w:i/>
          <w:iCs/>
          <w:color w:val="000000"/>
          <w:spacing w:val="0"/>
          <w:w w:val="100"/>
          <w:position w:val="0"/>
          <w:shd w:val="clear" w:color="auto" w:fill="auto"/>
          <w:lang w:val="en-US" w:eastAsia="en-US" w:bidi="en-US"/>
        </w:rPr>
        <w:t>Celtic Scotland, a History of Ancient Alban</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Edinburgh, 1876-1880), perhaps the most important contribu</w:t>
        <w:softHyphen/>
        <w:t>tion to Scottish history written during the 19th century. In 1879 he was made a D.C.L. of Oxford, and in 1881 historiographer royal for Scotland. He died in Edinburgh on the 29th of August 1892.</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most important of Skene’s other works are: editions of John of Fordun's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Chronica gentis Scotorum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1871-1872);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Four Ancient Books of Wales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1868) ;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Chronicles of the Picts and Scots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1867) ; and of Adamuan's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Vita S. Columbae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1874);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 on the Coronation Stone of Scone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1869);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Memorials of the Family of Skene of Skene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(Aberdeen, 1887).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SKETCH </w:t>
      </w:r>
      <w:r>
        <w:rPr>
          <w:rFonts w:ascii="Times New Roman" w:eastAsia="Times New Roman" w:hAnsi="Times New Roman" w:cs="Times New Roman"/>
          <w:color w:val="000000"/>
          <w:spacing w:val="0"/>
          <w:w w:val="100"/>
          <w:position w:val="0"/>
          <w:shd w:val="clear" w:color="auto" w:fill="auto"/>
          <w:lang w:val="en-US" w:eastAsia="en-US" w:bidi="en-US"/>
        </w:rPr>
        <w:t xml:space="preserve">(directly adapted from Dutch </w:t>
      </w:r>
      <w:r>
        <w:rPr>
          <w:rFonts w:ascii="Times New Roman" w:eastAsia="Times New Roman" w:hAnsi="Times New Roman" w:cs="Times New Roman"/>
          <w:i/>
          <w:iCs/>
          <w:color w:val="000000"/>
          <w:spacing w:val="0"/>
          <w:w w:val="100"/>
          <w:position w:val="0"/>
          <w:shd w:val="clear" w:color="auto" w:fill="auto"/>
          <w:lang w:val="en-US" w:eastAsia="en-US" w:bidi="en-US"/>
        </w:rPr>
        <w:t>schets,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taken from Ital. </w:t>
      </w:r>
      <w:r>
        <w:rPr>
          <w:rFonts w:ascii="Times New Roman" w:eastAsia="Times New Roman" w:hAnsi="Times New Roman" w:cs="Times New Roman"/>
          <w:i/>
          <w:iCs/>
          <w:color w:val="000000"/>
          <w:spacing w:val="0"/>
          <w:w w:val="100"/>
          <w:position w:val="0"/>
          <w:shd w:val="clear" w:color="auto" w:fill="auto"/>
          <w:lang w:val="en-US" w:eastAsia="en-US" w:bidi="en-US"/>
        </w:rPr>
        <w:t>schizzo,</w:t>
      </w:r>
      <w:r>
        <w:rPr>
          <w:rFonts w:ascii="Times New Roman" w:eastAsia="Times New Roman" w:hAnsi="Times New Roman" w:cs="Times New Roman"/>
          <w:color w:val="000000"/>
          <w:spacing w:val="0"/>
          <w:w w:val="100"/>
          <w:position w:val="0"/>
          <w:shd w:val="clear" w:color="auto" w:fill="auto"/>
          <w:lang w:val="en-US" w:eastAsia="en-US" w:bidi="en-US"/>
        </w:rPr>
        <w:t xml:space="preserve"> a rough draft, Lat. </w:t>
      </w:r>
      <w:r>
        <w:rPr>
          <w:rFonts w:ascii="Times New Roman" w:eastAsia="Times New Roman" w:hAnsi="Times New Roman" w:cs="Times New Roman"/>
          <w:i/>
          <w:iCs/>
          <w:color w:val="000000"/>
          <w:spacing w:val="0"/>
          <w:w w:val="100"/>
          <w:position w:val="0"/>
          <w:shd w:val="clear" w:color="auto" w:fill="auto"/>
          <w:lang w:val="en-US" w:eastAsia="en-US" w:bidi="en-US"/>
        </w:rPr>
        <w:t>schedium,</w:t>
      </w:r>
      <w:r>
        <w:rPr>
          <w:rFonts w:ascii="Times New Roman" w:eastAsia="Times New Roman" w:hAnsi="Times New Roman" w:cs="Times New Roman"/>
          <w:color w:val="000000"/>
          <w:spacing w:val="0"/>
          <w:w w:val="100"/>
          <w:position w:val="0"/>
          <w:shd w:val="clear" w:color="auto" w:fill="auto"/>
          <w:lang w:val="en-US" w:eastAsia="en-US" w:bidi="en-US"/>
        </w:rPr>
        <w:t xml:space="preserve"> something hastily made, Gr. σχeδιos, sudden, off-hand, </w:t>
      </w:r>
      <w:r>
        <w:rPr>
          <w:rFonts w:ascii="Times New Roman" w:eastAsia="Times New Roman" w:hAnsi="Times New Roman" w:cs="Times New Roman"/>
          <w:i/>
          <w:iCs/>
          <w:color w:val="000000"/>
          <w:spacing w:val="0"/>
          <w:w w:val="100"/>
          <w:position w:val="0"/>
          <w:shd w:val="clear" w:color="auto" w:fill="auto"/>
          <w:lang w:val="en-US" w:eastAsia="en-US" w:bidi="en-US"/>
        </w:rPr>
        <w:t>σχtbbv,</w:t>
      </w:r>
      <w:r>
        <w:rPr>
          <w:rFonts w:ascii="Times New Roman" w:eastAsia="Times New Roman" w:hAnsi="Times New Roman" w:cs="Times New Roman"/>
          <w:color w:val="000000"/>
          <w:spacing w:val="0"/>
          <w:w w:val="100"/>
          <w:position w:val="0"/>
          <w:shd w:val="clear" w:color="auto" w:fill="auto"/>
          <w:lang w:val="en-US" w:eastAsia="en-US" w:bidi="en-US"/>
        </w:rPr>
        <w:t xml:space="preserve"> near by; Ger. </w:t>
      </w:r>
      <w:r>
        <w:rPr>
          <w:rFonts w:ascii="Times New Roman" w:eastAsia="Times New Roman" w:hAnsi="Times New Roman" w:cs="Times New Roman"/>
          <w:i/>
          <w:iCs/>
          <w:color w:val="000000"/>
          <w:spacing w:val="0"/>
          <w:w w:val="100"/>
          <w:position w:val="0"/>
          <w:shd w:val="clear" w:color="auto" w:fill="auto"/>
          <w:lang w:val="de-DE" w:eastAsia="de-DE" w:bidi="de-DE"/>
        </w:rPr>
        <w:t>Skizze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 </w:t>
      </w:r>
      <w:r>
        <w:rPr>
          <w:rFonts w:ascii="Times New Roman" w:eastAsia="Times New Roman" w:hAnsi="Times New Roman" w:cs="Times New Roman"/>
          <w:i/>
          <w:iCs/>
          <w:color w:val="000000"/>
          <w:spacing w:val="0"/>
          <w:w w:val="100"/>
          <w:position w:val="0"/>
          <w:shd w:val="clear" w:color="auto" w:fill="auto"/>
          <w:lang w:val="en-US" w:eastAsia="en-US" w:bidi="en-US"/>
        </w:rPr>
        <w:t>esquisse</w:t>
      </w:r>
      <w:r>
        <w:rPr>
          <w:rFonts w:ascii="Times New Roman" w:eastAsia="Times New Roman" w:hAnsi="Times New Roman" w:cs="Times New Roman"/>
          <w:color w:val="000000"/>
          <w:spacing w:val="0"/>
          <w:w w:val="100"/>
          <w:position w:val="0"/>
          <w:shd w:val="clear" w:color="auto" w:fill="auto"/>
          <w:lang w:val="en-US" w:eastAsia="en-US" w:bidi="en-US"/>
        </w:rPr>
        <w:t xml:space="preserve"> arc from the same source), a rough or hasty preliminary outline or draft serving as a note or material for a finished work. Though used of literary composition, as for a short slightly constructed play, or of a rapid delineation in words of an event or character, the term is chiefly used of the putting on paper or other material of the immediate impression of an object, figure, landscape, &amp;c., by an artist, or of an artist’s first idea or conception of a work whether in painting or sculpture.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 (pronounced “ skee,” Icel. </w:t>
      </w:r>
      <w:r>
        <w:rPr>
          <w:rFonts w:ascii="Times New Roman" w:eastAsia="Times New Roman" w:hAnsi="Times New Roman" w:cs="Times New Roman"/>
          <w:i/>
          <w:iCs/>
          <w:color w:val="000000"/>
          <w:spacing w:val="0"/>
          <w:w w:val="100"/>
          <w:position w:val="0"/>
          <w:shd w:val="clear" w:color="auto" w:fill="auto"/>
          <w:lang w:val="en-US" w:eastAsia="en-US" w:bidi="en-US"/>
        </w:rPr>
        <w:t>scidh,</w:t>
      </w:r>
      <w:r>
        <w:rPr>
          <w:rFonts w:ascii="Times New Roman" w:eastAsia="Times New Roman" w:hAnsi="Times New Roman" w:cs="Times New Roman"/>
          <w:color w:val="000000"/>
          <w:spacing w:val="0"/>
          <w:w w:val="100"/>
          <w:position w:val="0"/>
          <w:shd w:val="clear" w:color="auto" w:fill="auto"/>
          <w:lang w:val="en-US" w:eastAsia="en-US" w:bidi="en-US"/>
        </w:rPr>
        <w:t xml:space="preserve"> snow-shoe, properly “ piece of wood ”), the wooden snow-shoe on which the inhabit</w:t>
        <w:softHyphen/>
        <w:t>ants of Scandinavia and neighbouring countries travel over the snow. Implements for this purpose were used by many nations of antiquity. Xenophon (</w:t>
      </w:r>
      <w:r>
        <w:rPr>
          <w:rFonts w:ascii="Times New Roman" w:eastAsia="Times New Roman" w:hAnsi="Times New Roman" w:cs="Times New Roman"/>
          <w:i/>
          <w:iCs/>
          <w:color w:val="000000"/>
          <w:spacing w:val="0"/>
          <w:w w:val="100"/>
          <w:position w:val="0"/>
          <w:shd w:val="clear" w:color="auto" w:fill="auto"/>
          <w:lang w:val="en-US" w:eastAsia="en-US" w:bidi="en-US"/>
        </w:rPr>
        <w:t>Anab.</w:t>
      </w:r>
      <w:r>
        <w:rPr>
          <w:rFonts w:ascii="Times New Roman" w:eastAsia="Times New Roman" w:hAnsi="Times New Roman" w:cs="Times New Roman"/>
          <w:color w:val="000000"/>
          <w:spacing w:val="0"/>
          <w:w w:val="100"/>
          <w:position w:val="0"/>
          <w:shd w:val="clear" w:color="auto" w:fill="auto"/>
          <w:lang w:val="en-US" w:eastAsia="en-US" w:bidi="en-US"/>
        </w:rPr>
        <w:t xml:space="preserve"> iv. 5) describes the shoes or pattens of skins with which the horses of the Armenians were shod, to prevent them from sinking into the snow, and Procopius made mention of the ancient Lapps, known in Scandinavia as "Skrid- Finnen," or sliders. Snow-shoes have always been used by the Mongols of north-western Asia. From the evidence of the old Norse sagas they must have been general in Scandinavia long before the Christian era. Uller, the god of winter, is always spoken of as walking upon skis, the curved toes of which gave rise to the legend that they were really ships upon which the god was wafted over hill and dale. Skis have been used time out of mind by Lapps, Finns and Scandinavians for hunting and journeying across the frozen country. The first skis of which there is any record were elongated, curved frames covered with leather. Those of the Skrid-Finnen of the 16th century were leather shoes, pointed at the toe, about 3 ft. long, into which, a few inches from the rear end, the feet were thrust up to the ankles. The form of the shoe varied in different districts. Modern skis are not, like the North American snow-shoe, made of broad frames covered with a thong web, but long, narrow, nearly flat pieces of ash, oak or spruce, pointed and turned up for about a foot at the toe. Their length is usually the distance their wearer can reach upwards with his hand, that for the average man being about 7 ft. 6 in., although some advocate less length.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width at the broadest part is about 5 in., and their greatest thickness (just under the foot) about 1</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in., tapering towards both ends. The under surface is usually perfectly smooth, although some skis arc provided with narrow strips running lengthwise on the under surface, to prevent side</w:t>
        <w:softHyphen/>
        <w:t>slipping. The feet, encased in stout deer hide shoes, heelless or nearly so, are fastened to the middle of the skis by an arrange</w:t>
        <w:softHyphen/>
        <w:t xml:space="preserve">ment of straps, called the </w:t>
      </w:r>
      <w:r>
        <w:rPr>
          <w:rFonts w:ascii="Times New Roman" w:eastAsia="Times New Roman" w:hAnsi="Times New Roman" w:cs="Times New Roman"/>
          <w:i/>
          <w:iCs/>
          <w:color w:val="000000"/>
          <w:spacing w:val="0"/>
          <w:w w:val="100"/>
          <w:position w:val="0"/>
          <w:shd w:val="clear" w:color="auto" w:fill="auto"/>
          <w:lang w:val="en-US" w:eastAsia="en-US" w:bidi="en-US"/>
        </w:rPr>
        <w:t>binding.</w:t>
      </w:r>
      <w:r>
        <w:rPr>
          <w:rFonts w:ascii="Times New Roman" w:eastAsia="Times New Roman" w:hAnsi="Times New Roman" w:cs="Times New Roman"/>
          <w:color w:val="000000"/>
          <w:spacing w:val="0"/>
          <w:w w:val="100"/>
          <w:position w:val="0"/>
          <w:shd w:val="clear" w:color="auto" w:fill="auto"/>
          <w:lang w:val="en-US" w:eastAsia="en-US" w:bidi="en-US"/>
        </w:rPr>
        <w:t xml:space="preserve"> A staff from 4 to 5 ft. long completes the touring outfit. On level ground the skis are allowed to glide over the snow without being lifted from it, the heels being raised while the toes remain fast to the skis. At this gait very long steps can be taken. Climbing hills one must walk zigzag, or even directly sideways step by step. Gentle slopes can be ascended straight ahead by planting the skis obliquely. Downhill the skis become a sledge upon which great velocity is attained. The staff is used as a brake in coasting, and is provided with a small disc a few inches from the lower end, to prevent it sinking into the snow.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Skiing as a sport began about i860 in the Norwegian district of Telemark and rapidly spread over all the Scandinavian</w:t>
      </w:r>
    </w:p>
    <w:sectPr>
      <w:footnotePr>
        <w:pos w:val="pageBottom"/>
        <w:numFmt w:val="decimal"/>
        <w:numRestart w:val="continuous"/>
      </w:footnotePr>
      <w:pgSz w:w="12240" w:h="15840"/>
      <w:pgMar w:top="960" w:left="870" w:right="98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