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counts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Vermandois. Renaud, </w:t>
      </w:r>
      <w:r>
        <w:rPr>
          <w:rFonts w:ascii="Times New Roman" w:eastAsia="Times New Roman" w:hAnsi="Times New Roman" w:cs="Times New Roman"/>
          <w:color w:val="000000"/>
          <w:spacing w:val="0"/>
          <w:w w:val="100"/>
          <w:position w:val="0"/>
          <w:shd w:val="clear" w:color="auto" w:fill="auto"/>
          <w:lang w:val="en-US" w:eastAsia="en-US" w:bidi="en-US"/>
        </w:rPr>
        <w:t xml:space="preserve">count of Soissons, gave his property in 1141 to his nephew Yves de Nesle. By successive marriages the countship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passed to the houses of Hainaut, Châtillon-Blois, Coucy, Bar and Luxem</w:t>
        <w:softHyphen/>
        <w:t xml:space="preserve">burg. Marie de Luxemburg brought it, together with the counties of Marie and St Pol, to Francis of Bourbon, count of </w:t>
      </w:r>
      <w:r>
        <w:rPr>
          <w:rFonts w:ascii="Times New Roman" w:eastAsia="Times New Roman" w:hAnsi="Times New Roman" w:cs="Times New Roman"/>
          <w:color w:val="000000"/>
          <w:spacing w:val="0"/>
          <w:w w:val="100"/>
          <w:position w:val="0"/>
          <w:shd w:val="clear" w:color="auto" w:fill="auto"/>
          <w:lang w:val="fr-FR" w:eastAsia="fr-FR" w:bidi="fr-FR"/>
        </w:rPr>
        <w:t xml:space="preserve">Vendôme, </w:t>
      </w:r>
      <w:r>
        <w:rPr>
          <w:rFonts w:ascii="Times New Roman" w:eastAsia="Times New Roman" w:hAnsi="Times New Roman" w:cs="Times New Roman"/>
          <w:color w:val="000000"/>
          <w:spacing w:val="0"/>
          <w:w w:val="100"/>
          <w:position w:val="0"/>
          <w:shd w:val="clear" w:color="auto" w:fill="auto"/>
          <w:lang w:val="en-US" w:eastAsia="en-US" w:bidi="en-US"/>
        </w:rPr>
        <w:t xml:space="preserve">whom she married in 1487. His descendants, the princes of Condé, held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and gave it to their cadets. Charles of Bourbon, count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(1566-1612), son of Louis, prince of Condé, whose political vacillations were due to his intrigues with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IV.'s sister Catherine, became grand master of France and governor of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and Normandy. His son, Louis of Bourbon (1604-1641), took part in the plots against Marie de Medici and Richelieu, and attempted to assas</w:t>
        <w:softHyphen/>
        <w:t xml:space="preserve">sinate Richelieu. He had only one child, a natural son, known as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Soissons. </w:t>
      </w:r>
      <w:r>
        <w:rPr>
          <w:rFonts w:ascii="Times New Roman" w:eastAsia="Times New Roman" w:hAnsi="Times New Roman" w:cs="Times New Roman"/>
          <w:color w:val="000000"/>
          <w:spacing w:val="0"/>
          <w:w w:val="100"/>
          <w:position w:val="0"/>
          <w:shd w:val="clear" w:color="auto" w:fill="auto"/>
          <w:lang w:val="en-US" w:eastAsia="en-US" w:bidi="en-US"/>
        </w:rPr>
        <w:t xml:space="preserve">The countship passed to the house of Savoy-Carignan by the marriage in 1625 of Marie de Bourbon- Soissons with Thomas Francis of Savoy. Eugène Maurice of Savoy, count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(1635-1673), married the beautiful and witty Olympia Mancini, a niece of Cardinal Mazarin, and obtained high military posts through his wife’s influence. He defeated the Spaniards at the battle of the Dunes in 1658; took part in the campaigns at Flanders (1667). Franche-Comté (1668) and Holland (1672); and was present as ambassador extraordinary of France at the coronation of Charles II. of England. His wife led a scandalous life, and was accused of poisoning her husband and others. She was the mother of Louis Thomas Amadeus, count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famous Prince Eugène of Savoy. In 1734 the male line of the family of Savoy-Soissons became extinct, and the heiress, the princess of Saxe-Hildburghausen, ceded the countship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to the house of Orleans, in whose possession it remained until 1789.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SOKE (O.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soc,</w:t>
      </w:r>
      <w:r>
        <w:rPr>
          <w:rFonts w:ascii="Times New Roman" w:eastAsia="Times New Roman" w:hAnsi="Times New Roman" w:cs="Times New Roman"/>
          <w:color w:val="000000"/>
          <w:spacing w:val="0"/>
          <w:w w:val="100"/>
          <w:position w:val="0"/>
          <w:shd w:val="clear" w:color="auto" w:fill="auto"/>
          <w:lang w:val="en-US" w:eastAsia="en-US" w:bidi="en-US"/>
        </w:rPr>
        <w:t xml:space="preserve"> connected ultimately with </w:t>
      </w:r>
      <w:r>
        <w:rPr>
          <w:rFonts w:ascii="Times New Roman" w:eastAsia="Times New Roman" w:hAnsi="Times New Roman" w:cs="Times New Roman"/>
          <w:i/>
          <w:iCs/>
          <w:color w:val="000000"/>
          <w:spacing w:val="0"/>
          <w:w w:val="100"/>
          <w:position w:val="0"/>
          <w:shd w:val="clear" w:color="auto" w:fill="auto"/>
          <w:lang w:val="en-US" w:eastAsia="en-US" w:bidi="en-US"/>
        </w:rPr>
        <w:t>secan,</w:t>
      </w:r>
      <w:r>
        <w:rPr>
          <w:rFonts w:ascii="Times New Roman" w:eastAsia="Times New Roman" w:hAnsi="Times New Roman" w:cs="Times New Roman"/>
          <w:color w:val="000000"/>
          <w:spacing w:val="0"/>
          <w:w w:val="100"/>
          <w:position w:val="0"/>
          <w:shd w:val="clear" w:color="auto" w:fill="auto"/>
          <w:lang w:val="en-US" w:eastAsia="en-US" w:bidi="en-US"/>
        </w:rPr>
        <w:t xml:space="preserve"> to seek), a word which at the time of the Norman Conquest generally denoted jurisdiction, but was often used vaguely and is probably incapable of precise definition. In some cases it denoted the right to hold a court, and in others only the right to receive the fines and forfeitures of the men over whom it was granted when they had been condemned in a court of competent jurisdic</w:t>
        <w:softHyphen/>
        <w:t>tion. Its primary meaning seems to have been "seeking”; thus "soka faldae" was the duty of seeking the lords court, just as "secta ad molendinum ” was the duty of seeking the lords mill. The "</w:t>
      </w:r>
      <w:r>
        <w:rPr>
          <w:rFonts w:ascii="Times New Roman" w:eastAsia="Times New Roman" w:hAnsi="Times New Roman" w:cs="Times New Roman"/>
          <w:i/>
          <w:iCs/>
          <w:color w:val="000000"/>
          <w:spacing w:val="0"/>
          <w:w w:val="100"/>
          <w:position w:val="0"/>
          <w:shd w:val="clear" w:color="auto" w:fill="auto"/>
          <w:lang w:val="en-US" w:eastAsia="en-US" w:bidi="en-US"/>
        </w:rPr>
        <w:t>Leges</w:t>
      </w:r>
      <w:r>
        <w:rPr>
          <w:rFonts w:ascii="Times New Roman" w:eastAsia="Times New Roman" w:hAnsi="Times New Roman" w:cs="Times New Roman"/>
          <w:color w:val="000000"/>
          <w:spacing w:val="0"/>
          <w:w w:val="100"/>
          <w:position w:val="0"/>
          <w:shd w:val="clear" w:color="auto" w:fill="auto"/>
          <w:lang w:val="en-US" w:eastAsia="en-US" w:bidi="en-US"/>
        </w:rPr>
        <w:t xml:space="preserve"> Henrici." also speaks of pleas “ in socna, id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in quaestione sua ”—pleas which are in his investigation. It is evident, however, that not long after the Norman Conquest considerable doubt prevailed about the correct meaning of the word. In some versions of the much used tract </w:t>
      </w:r>
      <w:r>
        <w:rPr>
          <w:rFonts w:ascii="Times New Roman" w:eastAsia="Times New Roman" w:hAnsi="Times New Roman" w:cs="Times New Roman"/>
          <w:i/>
          <w:iCs/>
          <w:color w:val="000000"/>
          <w:spacing w:val="0"/>
          <w:w w:val="100"/>
          <w:position w:val="0"/>
          <w:shd w:val="clear" w:color="auto" w:fill="auto"/>
          <w:lang w:val="en-US" w:eastAsia="en-US" w:bidi="en-US"/>
        </w:rPr>
        <w:t>Interpretationes vocabulorun</w:t>
      </w:r>
      <w:r>
        <w:rPr>
          <w:rFonts w:ascii="Times New Roman" w:eastAsia="Times New Roman" w:hAnsi="Times New Roman" w:cs="Times New Roman"/>
          <w:color w:val="000000"/>
          <w:spacing w:val="0"/>
          <w:w w:val="100"/>
          <w:position w:val="0"/>
          <w:shd w:val="clear" w:color="auto" w:fill="auto"/>
          <w:lang w:val="en-US" w:eastAsia="en-US" w:bidi="en-US"/>
        </w:rPr>
        <w:t xml:space="preserve"> Soke is defined "aver f</w:t>
      </w:r>
      <w:r>
        <w:rPr>
          <w:rFonts w:ascii="Times New Roman" w:eastAsia="Times New Roman" w:hAnsi="Times New Roman" w:cs="Times New Roman"/>
          <w:color w:val="000000"/>
          <w:spacing w:val="0"/>
          <w:w w:val="100"/>
          <w:position w:val="0"/>
          <w:shd w:val="clear" w:color="auto" w:fill="auto"/>
          <w:lang w:val="de-DE" w:eastAsia="de-DE" w:bidi="de-DE"/>
        </w:rPr>
        <w:t xml:space="preserve">raune </w:t>
      </w:r>
      <w:r>
        <w:rPr>
          <w:rFonts w:ascii="Times New Roman" w:eastAsia="Times New Roman" w:hAnsi="Times New Roman" w:cs="Times New Roman"/>
          <w:color w:val="000000"/>
          <w:spacing w:val="0"/>
          <w:w w:val="100"/>
          <w:position w:val="0"/>
          <w:shd w:val="clear" w:color="auto" w:fill="auto"/>
          <w:lang w:val="en-US" w:eastAsia="en-US" w:bidi="en-US"/>
        </w:rPr>
        <w:t>court,” and in others as “ interpellacio maioris audientiae,” which is glossed some</w:t>
        <w:softHyphen/>
        <w:t xml:space="preserve">what ambiguously as "claim a justis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requeste.” Soke is also frequently associated to “ sak ” or "sake ” in the alliterative jingle “ sake and soke,” but the two words are not etymologi</w:t>
        <w:softHyphen/>
        <w:t xml:space="preserve">cally related. “ Sake ” is the Anglo-Saxon “ sacu,” originally meaning a matter or cause (from </w:t>
      </w:r>
      <w:r>
        <w:rPr>
          <w:rFonts w:ascii="Times New Roman" w:eastAsia="Times New Roman" w:hAnsi="Times New Roman" w:cs="Times New Roman"/>
          <w:i/>
          <w:iCs/>
          <w:color w:val="000000"/>
          <w:spacing w:val="0"/>
          <w:w w:val="100"/>
          <w:position w:val="0"/>
          <w:shd w:val="clear" w:color="auto" w:fill="auto"/>
          <w:lang w:val="en-US" w:eastAsia="en-US" w:bidi="en-US"/>
        </w:rPr>
        <w:t>sacan,</w:t>
      </w:r>
      <w:r>
        <w:rPr>
          <w:rFonts w:ascii="Times New Roman" w:eastAsia="Times New Roman" w:hAnsi="Times New Roman" w:cs="Times New Roman"/>
          <w:color w:val="000000"/>
          <w:spacing w:val="0"/>
          <w:w w:val="100"/>
          <w:position w:val="0"/>
          <w:shd w:val="clear" w:color="auto" w:fill="auto"/>
          <w:lang w:val="en-US" w:eastAsia="en-US" w:bidi="en-US"/>
        </w:rPr>
        <w:t xml:space="preserve"> to contend), and later the right to have a court. Soke, however, is the commoner word, and appears to have had a wider range of meaning. The term "soke,” unlike "sake,” was sometimes used of the district over which the right of jurisdiction extended.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Adolphus Ballard has recently argued that the interpreta</w:t>
        <w:softHyphen/>
        <w:t>tion of the word "soke ” as jurisdiction should only be accepted where it stands for the fuller phrase, "sake and soke,” and that soke standing by itself denoted services only. There are certainly many passages in Domesday Book which support his contention, but there are also other passages in which soke seems to be merely a short expression for "sake and soke.” The difficulties about the correct interpretation of these words will probably not be solved until the normal functions and jurisdiction of the various local courts have been more fully elucidated.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sokemen ” were a class of tenants, found chiefly in the eastern counties, occupying an intermediate position between </w:t>
      </w:r>
      <w:r>
        <w:rPr>
          <w:rFonts w:ascii="Times New Roman" w:eastAsia="Times New Roman" w:hAnsi="Times New Roman" w:cs="Times New Roman"/>
          <w:color w:val="000000"/>
          <w:spacing w:val="0"/>
          <w:w w:val="100"/>
          <w:position w:val="0"/>
          <w:shd w:val="clear" w:color="auto" w:fill="auto"/>
          <w:lang w:val="en-US" w:eastAsia="en-US" w:bidi="en-US"/>
        </w:rPr>
        <w:t>the free tenants and the bond tenants or villains. As a general rule they were personally free, but performed many of the agricultural services of the villains. It is generally supposed they were called sokemen because they were within the lord’s soke or jurisdiction. Mr Ballard, however, holds that a sokeman was merely a man who rendered services, and that a sokeland was land from which services were rendered, and was not neces</w:t>
        <w:softHyphen/>
        <w:t xml:space="preserve">sarily under the jurisdiction of a manor. The law term, socage, used of this tenure, is a barbarism, and is formed by adding the French </w:t>
      </w:r>
      <w:r>
        <w:rPr>
          <w:rFonts w:ascii="Times New Roman" w:eastAsia="Times New Roman" w:hAnsi="Times New Roman" w:cs="Times New Roman"/>
          <w:i/>
          <w:iCs/>
          <w:color w:val="000000"/>
          <w:spacing w:val="0"/>
          <w:w w:val="100"/>
          <w:position w:val="0"/>
          <w:shd w:val="clear" w:color="auto" w:fill="auto"/>
          <w:lang w:val="en-US" w:eastAsia="en-US" w:bidi="en-US"/>
        </w:rPr>
        <w:t>age</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soc.</w:t>
      </w:r>
    </w:p>
    <w:p>
      <w:pPr>
        <w:pStyle w:val="Style3"/>
        <w:keepNext w:val="0"/>
        <w:keepLines w:val="0"/>
        <w:widowControl w:val="0"/>
        <w:shd w:val="clear" w:color="auto" w:fill="auto"/>
        <w:tabs>
          <w:tab w:pos="412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Maitland, </w:t>
      </w:r>
      <w:r>
        <w:rPr>
          <w:rFonts w:ascii="Times New Roman" w:eastAsia="Times New Roman" w:hAnsi="Times New Roman" w:cs="Times New Roman"/>
          <w:i/>
          <w:iCs/>
          <w:color w:val="000000"/>
          <w:spacing w:val="0"/>
          <w:w w:val="100"/>
          <w:position w:val="0"/>
          <w:shd w:val="clear" w:color="auto" w:fill="auto"/>
          <w:lang w:val="en-US" w:eastAsia="en-US" w:bidi="en-US"/>
        </w:rPr>
        <w:t>Domesday Book and Beyond;</w:t>
      </w:r>
      <w:r>
        <w:rPr>
          <w:rFonts w:ascii="Times New Roman" w:eastAsia="Times New Roman" w:hAnsi="Times New Roman" w:cs="Times New Roman"/>
          <w:color w:val="000000"/>
          <w:spacing w:val="0"/>
          <w:w w:val="100"/>
          <w:position w:val="0"/>
          <w:shd w:val="clear" w:color="auto" w:fill="auto"/>
          <w:lang w:val="en-US" w:eastAsia="en-US" w:bidi="en-US"/>
        </w:rPr>
        <w:t xml:space="preserve"> J. H. Round, </w:t>
      </w:r>
      <w:r>
        <w:rPr>
          <w:rFonts w:ascii="Times New Roman" w:eastAsia="Times New Roman" w:hAnsi="Times New Roman" w:cs="Times New Roman"/>
          <w:i/>
          <w:iCs/>
          <w:color w:val="000000"/>
          <w:spacing w:val="0"/>
          <w:w w:val="100"/>
          <w:position w:val="0"/>
          <w:shd w:val="clear" w:color="auto" w:fill="auto"/>
          <w:lang w:val="en-US" w:eastAsia="en-US" w:bidi="en-US"/>
        </w:rPr>
        <w:t>Feudal England;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 Baring, </w:t>
      </w:r>
      <w:r>
        <w:rPr>
          <w:rFonts w:ascii="Times New Roman" w:eastAsia="Times New Roman" w:hAnsi="Times New Roman" w:cs="Times New Roman"/>
          <w:i/>
          <w:iCs/>
          <w:color w:val="000000"/>
          <w:spacing w:val="0"/>
          <w:w w:val="100"/>
          <w:position w:val="0"/>
          <w:shd w:val="clear" w:color="auto" w:fill="auto"/>
          <w:lang w:val="en-US" w:eastAsia="en-US" w:bidi="en-US"/>
        </w:rPr>
        <w:t>Domesday Tables;</w:t>
      </w:r>
      <w:r>
        <w:rPr>
          <w:rFonts w:ascii="Times New Roman" w:eastAsia="Times New Roman" w:hAnsi="Times New Roman" w:cs="Times New Roman"/>
          <w:color w:val="000000"/>
          <w:spacing w:val="0"/>
          <w:w w:val="100"/>
          <w:position w:val="0"/>
          <w:shd w:val="clear" w:color="auto" w:fill="auto"/>
          <w:lang w:val="en-US" w:eastAsia="en-US" w:bidi="en-US"/>
        </w:rPr>
        <w:t xml:space="preserve"> A. Ballard, </w:t>
      </w:r>
      <w:r>
        <w:rPr>
          <w:rFonts w:ascii="Times New Roman" w:eastAsia="Times New Roman" w:hAnsi="Times New Roman" w:cs="Times New Roman"/>
          <w:i/>
          <w:iCs/>
          <w:color w:val="000000"/>
          <w:spacing w:val="0"/>
          <w:w w:val="100"/>
          <w:position w:val="0"/>
          <w:shd w:val="clear" w:color="auto" w:fill="auto"/>
          <w:lang w:val="en-US" w:eastAsia="en-US" w:bidi="en-US"/>
        </w:rPr>
        <w:t>The Domesday Inquest;</w:t>
      </w:r>
      <w:r>
        <w:rPr>
          <w:rFonts w:ascii="Times New Roman" w:eastAsia="Times New Roman" w:hAnsi="Times New Roman" w:cs="Times New Roman"/>
          <w:color w:val="000000"/>
          <w:spacing w:val="0"/>
          <w:w w:val="100"/>
          <w:position w:val="0"/>
          <w:shd w:val="clear" w:color="auto" w:fill="auto"/>
          <w:lang w:val="en-US" w:eastAsia="en-US" w:bidi="en-US"/>
        </w:rPr>
        <w:t xml:space="preserve"> J. Tait, review of the last-mentioned book in </w:t>
      </w:r>
      <w:r>
        <w:rPr>
          <w:rFonts w:ascii="Times New Roman" w:eastAsia="Times New Roman" w:hAnsi="Times New Roman" w:cs="Times New Roman"/>
          <w:i/>
          <w:iCs/>
          <w:color w:val="000000"/>
          <w:spacing w:val="0"/>
          <w:w w:val="100"/>
          <w:position w:val="0"/>
          <w:shd w:val="clear" w:color="auto" w:fill="auto"/>
          <w:lang w:val="en-US" w:eastAsia="en-US" w:bidi="en-US"/>
        </w:rPr>
        <w:t>English Historical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for January 1908; </w:t>
      </w:r>
      <w:r>
        <w:rPr>
          <w:rFonts w:ascii="Times New Roman" w:eastAsia="Times New Roman" w:hAnsi="Times New Roman" w:cs="Times New Roman"/>
          <w:i/>
          <w:iCs/>
          <w:color w:val="000000"/>
          <w:spacing w:val="0"/>
          <w:w w:val="100"/>
          <w:position w:val="0"/>
          <w:shd w:val="clear" w:color="auto" w:fill="auto"/>
          <w:lang w:val="en-US" w:eastAsia="en-US" w:bidi="en-US"/>
        </w:rPr>
        <w:t>Red Book of the Ex</w:t>
        <w:softHyphen/>
        <w:t>chequer</w:t>
      </w:r>
      <w:r>
        <w:rPr>
          <w:rFonts w:ascii="Times New Roman" w:eastAsia="Times New Roman" w:hAnsi="Times New Roman" w:cs="Times New Roman"/>
          <w:color w:val="000000"/>
          <w:spacing w:val="0"/>
          <w:w w:val="100"/>
          <w:position w:val="0"/>
          <w:shd w:val="clear" w:color="auto" w:fill="auto"/>
          <w:lang w:val="en-US" w:eastAsia="en-US" w:bidi="en-US"/>
        </w:rPr>
        <w:t xml:space="preserve"> (Rolls Series), iii. 1035.</w:t>
        <w:tab/>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J. 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SOKOTO, </w:t>
      </w:r>
      <w:r>
        <w:rPr>
          <w:rFonts w:ascii="Times New Roman" w:eastAsia="Times New Roman" w:hAnsi="Times New Roman" w:cs="Times New Roman"/>
          <w:color w:val="000000"/>
          <w:spacing w:val="0"/>
          <w:w w:val="100"/>
          <w:position w:val="0"/>
          <w:shd w:val="clear" w:color="auto" w:fill="auto"/>
          <w:lang w:val="en-US" w:eastAsia="en-US" w:bidi="en-US"/>
        </w:rPr>
        <w:t>an important Fula state of west central Sudan, now a province of the British protectorate of Nigeria. The sultan of Sokoto throughout the 19th century exercised an over</w:t>
        <w:softHyphen/>
        <w:t xml:space="preserve">lordship over the Hausa states extending east from the Niger to Bornu and southward to the Benue and Adamawa. These states and Sokoto itself, known variously as the Sokoto or Fula empire and </w:t>
      </w:r>
      <w:r>
        <w:rPr>
          <w:rFonts w:ascii="Times New Roman" w:eastAsia="Times New Roman" w:hAnsi="Times New Roman" w:cs="Times New Roman"/>
          <w:color w:val="000000"/>
          <w:spacing w:val="0"/>
          <w:w w:val="100"/>
          <w:position w:val="0"/>
          <w:shd w:val="clear" w:color="auto" w:fill="auto"/>
          <w:lang w:val="de-DE" w:eastAsia="de-DE" w:bidi="de-DE"/>
        </w:rPr>
        <w:t xml:space="preserve">Hausaland, </w:t>
      </w:r>
      <w:r>
        <w:rPr>
          <w:rFonts w:ascii="Times New Roman" w:eastAsia="Times New Roman" w:hAnsi="Times New Roman" w:cs="Times New Roman"/>
          <w:color w:val="000000"/>
          <w:spacing w:val="0"/>
          <w:w w:val="100"/>
          <w:position w:val="0"/>
          <w:shd w:val="clear" w:color="auto" w:fill="auto"/>
          <w:lang w:val="en-US" w:eastAsia="en-US" w:bidi="en-US"/>
        </w:rPr>
        <w:t>came (c. 1900-1903) under direct British control, but the native governments are maintained. The pro</w:t>
        <w:softHyphen/>
        <w:t>vince of Sokoto occupies the north-west corner of the British protectorate, and is bounded west and north by French territory. South and east it adjoins other parts of the British protectorate. Bordering north on the Sahara, it contains much arid land, but south-west the land is very fertile. Running through it in a south-westerly direction is the Gublin Kebbi or Sokoto river, which joins the Niger in 11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N. 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On a tributary of this river is the town of Sokoto.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Sokoto or Fula empire was founded at the beginning of the 19th century. The country over which the Fula ruled has, however, a history going back to the middle ages. Between the Niger and the kingdom of Bornu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country was inhabited by various black tribes, of whom the Hausa occupied the plains. Under the influence of Berber and Arab tribes, who embraced Mahommedanism, the Hausa advanced in civiliza</w:t>
        <w:softHyphen/>
        <w:t xml:space="preserve">tion, founded large cities, and developed a considerable trade, not only with the neighbouring countries, but, via the Sahara, with the Barbary states. The various kingdoms which grew up round each large town had their own rulers, but in the first half of the 16th century they all appear to have owned the sway of the Songhoi kings (see </w:t>
      </w:r>
      <w:r>
        <w:rPr>
          <w:rFonts w:ascii="Times New Roman" w:eastAsia="Times New Roman" w:hAnsi="Times New Roman" w:cs="Times New Roman"/>
          <w:smallCaps/>
          <w:color w:val="000000"/>
          <w:spacing w:val="0"/>
          <w:w w:val="100"/>
          <w:position w:val="0"/>
          <w:shd w:val="clear" w:color="auto" w:fill="auto"/>
          <w:lang w:val="en-US" w:eastAsia="en-US" w:bidi="en-US"/>
        </w:rPr>
        <w:t>Timbuktu).</w:t>
      </w:r>
      <w:r>
        <w:rPr>
          <w:rFonts w:ascii="Times New Roman" w:eastAsia="Times New Roman" w:hAnsi="Times New Roman" w:cs="Times New Roman"/>
          <w:color w:val="000000"/>
          <w:spacing w:val="0"/>
          <w:w w:val="100"/>
          <w:position w:val="0"/>
          <w:shd w:val="clear" w:color="auto" w:fill="auto"/>
          <w:lang w:val="en-US" w:eastAsia="en-US" w:bidi="en-US"/>
        </w:rPr>
        <w:t xml:space="preserve"> On the break up of the Songhoi empire the north-eastern part of </w:t>
      </w:r>
      <w:r>
        <w:rPr>
          <w:rFonts w:ascii="Times New Roman" w:eastAsia="Times New Roman" w:hAnsi="Times New Roman" w:cs="Times New Roman"/>
          <w:color w:val="000000"/>
          <w:spacing w:val="0"/>
          <w:w w:val="100"/>
          <w:position w:val="0"/>
          <w:shd w:val="clear" w:color="auto" w:fill="auto"/>
          <w:lang w:val="de-DE" w:eastAsia="de-DE" w:bidi="de-DE"/>
        </w:rPr>
        <w:t xml:space="preserve">Hausaland </w:t>
      </w:r>
      <w:r>
        <w:rPr>
          <w:rFonts w:ascii="Times New Roman" w:eastAsia="Times New Roman" w:hAnsi="Times New Roman" w:cs="Times New Roman"/>
          <w:color w:val="000000"/>
          <w:spacing w:val="0"/>
          <w:w w:val="100"/>
          <w:position w:val="0"/>
          <w:shd w:val="clear" w:color="auto" w:fill="auto"/>
          <w:lang w:val="en-US" w:eastAsia="en-US" w:bidi="en-US"/>
        </w:rPr>
        <w:t>became more or less subject to Bornu, whose sultans in the 17th century claimed to rule over Katsena and Kano. In this century arose a dynasty of the Habé, a name now believed to be identical with Hausa, who obtained power over a large area of the northern portion of the present British protectorate. The Hausa, whose conversion to Mahommedanism began in the 12th century, were still in the 18th century partly pagans, though their rulers were followers of the Prophet. These rulers built up an elaborate system of government which left a considerable share in the management of affairs to the body of the people. Dwelling among the Hausa were a number of Fula, mostly herdsmen, and these were devout Mahommedans. One of the more culti</w:t>
        <w:softHyphen/>
        <w:t xml:space="preserve">vated teachers of this race, named Othman Dan Fodio, had been tutor to the king of Gobir (a district north of Sokoto). He incurred the wrath of that king, who, angered at some act of defiance, ordered the massacre of every Fula in his dominions. The Fula flocked to Fodio’s aid, and in the battle of Koto or Rugga Fakko (1804) the king of Gobir was utterly defeated. Thereupon Fodio unfurled the green banner of Mahomet and preached a </w:t>
      </w:r>
      <w:r>
        <w:rPr>
          <w:rFonts w:ascii="Times New Roman" w:eastAsia="Times New Roman" w:hAnsi="Times New Roman" w:cs="Times New Roman"/>
          <w:i/>
          <w:iCs/>
          <w:color w:val="000000"/>
          <w:spacing w:val="0"/>
          <w:w w:val="100"/>
          <w:position w:val="0"/>
          <w:shd w:val="clear" w:color="auto" w:fill="auto"/>
          <w:lang w:val="en-US" w:eastAsia="en-US" w:bidi="en-US"/>
        </w:rPr>
        <w:t>jihad</w:t>
      </w:r>
      <w:r>
        <w:rPr>
          <w:rFonts w:ascii="Times New Roman" w:eastAsia="Times New Roman" w:hAnsi="Times New Roman" w:cs="Times New Roman"/>
          <w:color w:val="000000"/>
          <w:spacing w:val="0"/>
          <w:w w:val="100"/>
          <w:position w:val="0"/>
          <w:shd w:val="clear" w:color="auto" w:fill="auto"/>
          <w:lang w:val="en-US" w:eastAsia="en-US" w:bidi="en-US"/>
        </w:rPr>
        <w:t xml:space="preserve"> or religious war. In a few years the Fula had subdued most of the Hausa states, some, like Kano, yielding easily in order to preserve their trade, others, like Katsena, offering a stubborn resistance. Gobir and Kebbi remained unconquered, as did the pagan hill tribes. The Fula were also defeated in their attack on Bornu. In most places they continued the system of government which had grown up under the Habé, the chiefs or emirs of the various</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