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6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statue </w:t>
      </w:r>
      <w:r>
        <w:rPr>
          <w:rFonts w:ascii="Times New Roman" w:eastAsia="Times New Roman" w:hAnsi="Times New Roman" w:cs="Times New Roman"/>
          <w:color w:val="000000"/>
          <w:spacing w:val="0"/>
          <w:w w:val="100"/>
          <w:position w:val="0"/>
          <w:shd w:val="clear" w:color="auto" w:fill="auto"/>
          <w:lang w:val="en-US" w:eastAsia="en-US" w:bidi="en-US"/>
        </w:rPr>
        <w:t>has been erected in the Piazza, was born in the town in 1544∙</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SOSIGENES, </w:t>
      </w:r>
      <w:r>
        <w:rPr>
          <w:rFonts w:ascii="Times New Roman" w:eastAsia="Times New Roman" w:hAnsi="Times New Roman" w:cs="Times New Roman"/>
          <w:color w:val="000000"/>
          <w:spacing w:val="0"/>
          <w:w w:val="100"/>
          <w:position w:val="0"/>
          <w:shd w:val="clear" w:color="auto" w:fill="auto"/>
          <w:lang w:val="en-US" w:eastAsia="en-US" w:bidi="en-US"/>
        </w:rPr>
        <w:t>Greek astronomer and mathematician, probably of Alexandria, flourished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B.c. According to Pliny (</w:t>
      </w:r>
      <w:r>
        <w:rPr>
          <w:rFonts w:ascii="Times New Roman" w:eastAsia="Times New Roman" w:hAnsi="Times New Roman" w:cs="Times New Roman"/>
          <w:i/>
          <w:iCs/>
          <w:color w:val="000000"/>
          <w:spacing w:val="0"/>
          <w:w w:val="100"/>
          <w:position w:val="0"/>
          <w:shd w:val="clear" w:color="auto" w:fill="auto"/>
          <w:lang w:val="en-US" w:eastAsia="en-US" w:bidi="en-US"/>
        </w:rPr>
        <w:t>Nat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Hist.</w:t>
      </w:r>
      <w:r>
        <w:rPr>
          <w:rFonts w:ascii="Times New Roman" w:eastAsia="Times New Roman" w:hAnsi="Times New Roman" w:cs="Times New Roman"/>
          <w:color w:val="000000"/>
          <w:spacing w:val="0"/>
          <w:w w:val="100"/>
          <w:position w:val="0"/>
          <w:shd w:val="clear" w:color="auto" w:fill="auto"/>
          <w:lang w:val="en-US" w:eastAsia="en-US" w:bidi="en-US"/>
        </w:rPr>
        <w:t xml:space="preserve"> xviii. 25), he was employed by Julius Caesar in the reform of the Roman calendar (46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wrote three treatises, which he conscientiously corrected. From another passage of Pliny (ii. 8) it is inferred that Sosigenes maintained the doctrine of the motion of Mercury round the sun, which is referred to by his contemporary Cicero, and was also held by the Egyptians.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astronomer is to be distinguished from the Peripatetic philosopher of the same name, who lived at the end of the 2nd century A.D. He was the tutor of Alexander of Aphrodisias, the most famous of the commentators on Aristotle. He wrote a work on </w:t>
      </w:r>
      <w:r>
        <w:rPr>
          <w:rFonts w:ascii="Times New Roman" w:eastAsia="Times New Roman" w:hAnsi="Times New Roman" w:cs="Times New Roman"/>
          <w:i/>
          <w:iCs/>
          <w:color w:val="000000"/>
          <w:spacing w:val="0"/>
          <w:w w:val="100"/>
          <w:position w:val="0"/>
          <w:shd w:val="clear" w:color="auto" w:fill="auto"/>
          <w:lang w:val="en-US" w:eastAsia="en-US" w:bidi="en-US"/>
        </w:rPr>
        <w:t>Revolving Spheres,</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some important extracts have been preserved in Simplicius’s commentary on Aristotle’s </w:t>
      </w:r>
      <w:r>
        <w:rPr>
          <w:rFonts w:ascii="Times New Roman" w:eastAsia="Times New Roman" w:hAnsi="Times New Roman" w:cs="Times New Roman"/>
          <w:i/>
          <w:iCs/>
          <w:color w:val="000000"/>
          <w:spacing w:val="0"/>
          <w:w w:val="100"/>
          <w:position w:val="0"/>
          <w:shd w:val="clear" w:color="auto" w:fill="auto"/>
          <w:lang w:val="en-US" w:eastAsia="en-US" w:bidi="en-US"/>
        </w:rPr>
        <w:t>De caelo</w:t>
      </w:r>
      <w:r>
        <w:rPr>
          <w:rFonts w:ascii="Times New Roman" w:eastAsia="Times New Roman" w:hAnsi="Times New Roman" w:cs="Times New Roman"/>
          <w:color w:val="000000"/>
          <w:spacing w:val="0"/>
          <w:w w:val="100"/>
          <w:position w:val="0"/>
          <w:shd w:val="clear" w:color="auto" w:fill="auto"/>
          <w:lang w:val="en-US" w:eastAsia="en-US" w:bidi="en-US"/>
        </w:rPr>
        <w:t xml:space="preserve"> (the subject is fully discussed by </w:t>
      </w:r>
      <w:r>
        <w:rPr>
          <w:rFonts w:ascii="Times New Roman" w:eastAsia="Times New Roman" w:hAnsi="Times New Roman" w:cs="Times New Roman"/>
          <w:color w:val="000000"/>
          <w:spacing w:val="0"/>
          <w:w w:val="100"/>
          <w:position w:val="0"/>
          <w:shd w:val="clear" w:color="auto" w:fill="auto"/>
          <w:lang w:val="fr-FR" w:eastAsia="fr-FR" w:bidi="fr-FR"/>
        </w:rPr>
        <w:t xml:space="preserve">T. H. </w:t>
      </w:r>
      <w:r>
        <w:rPr>
          <w:rFonts w:ascii="Times New Roman" w:eastAsia="Times New Roman" w:hAnsi="Times New Roman" w:cs="Times New Roman"/>
          <w:color w:val="000000"/>
          <w:spacing w:val="0"/>
          <w:w w:val="100"/>
          <w:position w:val="0"/>
          <w:shd w:val="clear" w:color="auto" w:fill="auto"/>
          <w:lang w:val="en-US" w:eastAsia="en-US" w:bidi="en-US"/>
        </w:rPr>
        <w:t xml:space="preserve">Martin, “ </w:t>
      </w:r>
      <w:r>
        <w:rPr>
          <w:rFonts w:ascii="Times New Roman" w:eastAsia="Times New Roman" w:hAnsi="Times New Roman" w:cs="Times New Roman"/>
          <w:color w:val="000000"/>
          <w:spacing w:val="0"/>
          <w:w w:val="100"/>
          <w:position w:val="0"/>
          <w:shd w:val="clear" w:color="auto" w:fill="auto"/>
          <w:lang w:val="fr-FR" w:eastAsia="fr-FR" w:bidi="fr-FR"/>
        </w:rPr>
        <w:t xml:space="preserve">Sur </w:t>
      </w:r>
      <w:r>
        <w:rPr>
          <w:rFonts w:ascii="Times New Roman" w:eastAsia="Times New Roman" w:hAnsi="Times New Roman" w:cs="Times New Roman"/>
          <w:color w:val="000000"/>
          <w:spacing w:val="0"/>
          <w:w w:val="100"/>
          <w:position w:val="0"/>
          <w:shd w:val="clear" w:color="auto" w:fill="auto"/>
          <w:lang w:val="en-US" w:eastAsia="en-US" w:bidi="en-US"/>
        </w:rPr>
        <w:t xml:space="preserve">deux Sosigène,”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fac.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lettres </w:t>
      </w:r>
      <w:r>
        <w:rPr>
          <w:rFonts w:ascii="Times New Roman" w:eastAsia="Times New Roman" w:hAnsi="Times New Roman" w:cs="Times New Roman"/>
          <w:i/>
          <w:iCs/>
          <w:color w:val="000000"/>
          <w:spacing w:val="0"/>
          <w:w w:val="100"/>
          <w:position w:val="0"/>
          <w:shd w:val="clear" w:color="auto" w:fill="auto"/>
          <w:lang w:val="en-US" w:eastAsia="en-US" w:bidi="en-US"/>
        </w:rPr>
        <w:t>de Bordeaux,</w:t>
      </w:r>
      <w:r>
        <w:rPr>
          <w:rFonts w:ascii="Times New Roman" w:eastAsia="Times New Roman" w:hAnsi="Times New Roman" w:cs="Times New Roman"/>
          <w:color w:val="000000"/>
          <w:spacing w:val="0"/>
          <w:w w:val="100"/>
          <w:position w:val="0"/>
          <w:shd w:val="clear" w:color="auto" w:fill="auto"/>
          <w:lang w:val="en-US" w:eastAsia="en-US" w:bidi="en-US"/>
        </w:rPr>
        <w:t xml:space="preserve"> i., 1879).</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SOSITHEUS </w:t>
      </w:r>
      <w:r>
        <w:rPr>
          <w:rFonts w:ascii="Times New Roman" w:eastAsia="Times New Roman" w:hAnsi="Times New Roman" w:cs="Times New Roman"/>
          <w:color w:val="000000"/>
          <w:spacing w:val="0"/>
          <w:w w:val="100"/>
          <w:position w:val="0"/>
          <w:shd w:val="clear" w:color="auto" w:fill="auto"/>
          <w:lang w:val="en-US" w:eastAsia="en-US" w:bidi="en-US"/>
        </w:rPr>
        <w:t xml:space="preserve">(c. 280 B.c.), Greek tragic poet, of Alexandria Troas, a member of the Alexandrian "pleiad.” He must have resided at some time in Athens, since Diogenes Laertius tells us (vii. 5, 4) that he attacked the Stoic Cleanthes on the stage, and was hissed off by the audience. As Suïdas also calls him a Syracusan, it is conjectured that he belonged to the literary circle at the court of Hiero II. According to an epigram of Dioscorides in the Greek Anthology </w:t>
      </w:r>
      <w:r>
        <w:rPr>
          <w:rFonts w:ascii="Times New Roman" w:eastAsia="Times New Roman" w:hAnsi="Times New Roman" w:cs="Times New Roman"/>
          <w:i/>
          <w:iCs/>
          <w:color w:val="000000"/>
          <w:spacing w:val="0"/>
          <w:w w:val="100"/>
          <w:position w:val="0"/>
          <w:shd w:val="clear" w:color="auto" w:fill="auto"/>
          <w:lang w:val="en-US" w:eastAsia="en-US" w:bidi="en-US"/>
        </w:rPr>
        <w:t>(Anth. Pal.</w:t>
      </w:r>
      <w:r>
        <w:rPr>
          <w:rFonts w:ascii="Times New Roman" w:eastAsia="Times New Roman" w:hAnsi="Times New Roman" w:cs="Times New Roman"/>
          <w:color w:val="000000"/>
          <w:spacing w:val="0"/>
          <w:w w:val="100"/>
          <w:position w:val="0"/>
          <w:shd w:val="clear" w:color="auto" w:fill="auto"/>
          <w:lang w:val="en-US" w:eastAsia="en-US" w:bidi="en-US"/>
        </w:rPr>
        <w:t xml:space="preserve"> vii. 707) he restored the satyric drama in its original form. A considerable fragment is extant of his pastoral play </w:t>
      </w:r>
      <w:r>
        <w:rPr>
          <w:rFonts w:ascii="Times New Roman" w:eastAsia="Times New Roman" w:hAnsi="Times New Roman" w:cs="Times New Roman"/>
          <w:i/>
          <w:iCs/>
          <w:color w:val="000000"/>
          <w:spacing w:val="0"/>
          <w:w w:val="100"/>
          <w:position w:val="0"/>
          <w:shd w:val="clear" w:color="auto" w:fill="auto"/>
          <w:lang w:val="en-US" w:eastAsia="en-US" w:bidi="en-US"/>
        </w:rPr>
        <w:t>Daphnis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Lityerses,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Sicilian shepherd, in search of his love Pimplea, is brought into connexion with the Phrygian reaper, son of Midas, who slew all who unsuccessfully competed with him in reaping his com. Heracles came to the aid of Daphnis and slew Lityerses.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O. Crusius s.v. Lityerses in Roscher’s </w:t>
      </w:r>
      <w:r>
        <w:rPr>
          <w:rFonts w:ascii="Times New Roman" w:eastAsia="Times New Roman" w:hAnsi="Times New Roman" w:cs="Times New Roman"/>
          <w:i/>
          <w:iCs/>
          <w:color w:val="000000"/>
          <w:spacing w:val="0"/>
          <w:w w:val="100"/>
          <w:position w:val="0"/>
          <w:shd w:val="clear" w:color="auto" w:fill="auto"/>
          <w:lang w:val="de-DE" w:eastAsia="de-DE" w:bidi="de-DE"/>
        </w:rPr>
        <w:t>Lexikon der griechischen und römischen Mythologie.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fragment of twenty-one lines in Nauck’s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Tragicorum graecorum </w:t>
      </w:r>
      <w:r>
        <w:rPr>
          <w:rFonts w:ascii="Times New Roman" w:eastAsia="Times New Roman" w:hAnsi="Times New Roman" w:cs="Times New Roman"/>
          <w:i/>
          <w:iCs/>
          <w:color w:val="000000"/>
          <w:spacing w:val="0"/>
          <w:w w:val="100"/>
          <w:position w:val="0"/>
          <w:shd w:val="clear" w:color="auto" w:fill="auto"/>
          <w:lang w:val="fr-FR" w:eastAsia="fr-FR" w:bidi="fr-FR"/>
        </w:rPr>
        <w:t>fragmenta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apparently contains the beginning of the drama. Two lines from the </w:t>
      </w:r>
      <w:r>
        <w:rPr>
          <w:rFonts w:ascii="Times New Roman" w:eastAsia="Times New Roman" w:hAnsi="Times New Roman" w:cs="Times New Roman"/>
          <w:i/>
          <w:iCs/>
          <w:color w:val="000000"/>
          <w:spacing w:val="0"/>
          <w:w w:val="100"/>
          <w:position w:val="0"/>
          <w:shd w:val="clear" w:color="auto" w:fill="auto"/>
          <w:lang w:val="en-US" w:eastAsia="en-US" w:bidi="en-US"/>
        </w:rPr>
        <w:t>Aëthlius</w:t>
      </w:r>
      <w:r>
        <w:rPr>
          <w:rFonts w:ascii="Times New Roman" w:eastAsia="Times New Roman" w:hAnsi="Times New Roman" w:cs="Times New Roman"/>
          <w:color w:val="000000"/>
          <w:spacing w:val="0"/>
          <w:w w:val="100"/>
          <w:position w:val="0"/>
          <w:shd w:val="clear" w:color="auto" w:fill="auto"/>
          <w:lang w:val="en-US" w:eastAsia="en-US" w:bidi="en-US"/>
        </w:rPr>
        <w:t xml:space="preserve"> (probably the traditional first king of Elis, father of Endymion) are quoted by Stobaeus </w:t>
      </w:r>
      <w:r>
        <w:rPr>
          <w:rFonts w:ascii="Times New Roman" w:eastAsia="Times New Roman" w:hAnsi="Times New Roman" w:cs="Times New Roman"/>
          <w:i/>
          <w:iCs/>
          <w:color w:val="000000"/>
          <w:spacing w:val="0"/>
          <w:w w:val="100"/>
          <w:position w:val="0"/>
          <w:shd w:val="clear" w:color="auto" w:fill="auto"/>
          <w:lang w:val="en-US" w:eastAsia="en-US" w:bidi="en-US"/>
        </w:rPr>
        <w:t>(Flor.</w:t>
      </w:r>
      <w:r>
        <w:rPr>
          <w:rFonts w:ascii="Times New Roman" w:eastAsia="Times New Roman" w:hAnsi="Times New Roman" w:cs="Times New Roman"/>
          <w:color w:val="000000"/>
          <w:spacing w:val="0"/>
          <w:w w:val="100"/>
          <w:position w:val="0"/>
          <w:shd w:val="clear" w:color="auto" w:fill="auto"/>
          <w:lang w:val="en-US" w:eastAsia="en-US" w:bidi="en-US"/>
        </w:rPr>
        <w:t xml:space="preserve"> li. 23).</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SOTADES, </w:t>
      </w:r>
      <w:r>
        <w:rPr>
          <w:rFonts w:ascii="Times New Roman" w:eastAsia="Times New Roman" w:hAnsi="Times New Roman" w:cs="Times New Roman"/>
          <w:color w:val="000000"/>
          <w:spacing w:val="0"/>
          <w:w w:val="100"/>
          <w:position w:val="0"/>
          <w:shd w:val="clear" w:color="auto" w:fill="auto"/>
          <w:lang w:val="en-US" w:eastAsia="en-US" w:bidi="en-US"/>
        </w:rPr>
        <w:t xml:space="preserve">Greek satirist, of Maronea in Thrace (or of Crete), chief representative of the writers of coarse satirical poems, called </w:t>
      </w:r>
      <w:r>
        <w:rPr>
          <w:rFonts w:ascii="Times New Roman" w:eastAsia="Times New Roman" w:hAnsi="Times New Roman" w:cs="Times New Roman"/>
          <w:color w:val="000000"/>
          <w:spacing w:val="0"/>
          <w:w w:val="100"/>
          <w:position w:val="0"/>
          <w:shd w:val="clear" w:color="auto" w:fill="auto"/>
          <w:lang w:val="el-GR" w:eastAsia="el-GR" w:bidi="el-GR"/>
        </w:rPr>
        <w:t>κίναιδοι,</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l-GR" w:eastAsia="el-GR" w:bidi="el-GR"/>
        </w:rPr>
        <w:t>1</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composed in the Ionic dialect and in a metre named after him “ sotadic.” He lived in Alexandria during the reign of Ptolemy II. Philadelphus (285-247 B.c.). For a violent attack on the king, on the occasion of his marriage to his own sister Arsinoë, Sotades was imprisoned, but escaped to the island of Caunus, where he was afterwards captured by Patro</w:t>
        <w:softHyphen/>
        <w:t xml:space="preserve">clus, Ptolemy’s admiral, shut up in a leaden chest, and thrown into the sea (Athenaeus xiv. p. 620; Plutarch,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educatione </w:t>
      </w:r>
      <w:r>
        <w:rPr>
          <w:rFonts w:ascii="Times New Roman" w:eastAsia="Times New Roman" w:hAnsi="Times New Roman" w:cs="Times New Roman"/>
          <w:i/>
          <w:iCs/>
          <w:color w:val="000000"/>
          <w:spacing w:val="0"/>
          <w:w w:val="100"/>
          <w:position w:val="0"/>
          <w:shd w:val="clear" w:color="auto" w:fill="auto"/>
          <w:lang w:val="fr-FR" w:eastAsia="fr-FR" w:bidi="fr-FR"/>
        </w:rPr>
        <w:t>puer</w:t>
      </w:r>
      <w:r>
        <w:rPr>
          <w:rFonts w:ascii="Times New Roman" w:eastAsia="Times New Roman" w:hAnsi="Times New Roman" w:cs="Times New Roman"/>
          <w:i/>
          <w:iCs/>
          <w:color w:val="000000"/>
          <w:spacing w:val="0"/>
          <w:w w:val="100"/>
          <w:position w:val="0"/>
          <w:shd w:val="clear" w:color="auto" w:fill="auto"/>
          <w:lang w:val="en-US" w:eastAsia="en-US" w:bidi="en-US"/>
        </w:rPr>
        <w:t>orum,</w:t>
      </w:r>
      <w:r>
        <w:rPr>
          <w:rFonts w:ascii="Times New Roman" w:eastAsia="Times New Roman" w:hAnsi="Times New Roman" w:cs="Times New Roman"/>
          <w:color w:val="000000"/>
          <w:spacing w:val="0"/>
          <w:w w:val="100"/>
          <w:position w:val="0"/>
          <w:shd w:val="clear" w:color="auto" w:fill="auto"/>
          <w:lang w:val="en-US" w:eastAsia="en-US" w:bidi="en-US"/>
        </w:rPr>
        <w:t xml:space="preserve"> 14).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a few genuine fragments of Sotades have been preserved (see J. G. Hermann, </w:t>
      </w:r>
      <w:r>
        <w:rPr>
          <w:rFonts w:ascii="Times New Roman" w:eastAsia="Times New Roman" w:hAnsi="Times New Roman" w:cs="Times New Roman"/>
          <w:i/>
          <w:iCs/>
          <w:color w:val="000000"/>
          <w:spacing w:val="0"/>
          <w:w w:val="100"/>
          <w:position w:val="0"/>
          <w:shd w:val="clear" w:color="auto" w:fill="auto"/>
          <w:lang w:val="en-US" w:eastAsia="en-US" w:bidi="en-US"/>
        </w:rPr>
        <w:t>Elementa doctrinae metricae,</w:t>
      </w:r>
      <w:r>
        <w:rPr>
          <w:rFonts w:ascii="Times New Roman" w:eastAsia="Times New Roman" w:hAnsi="Times New Roman" w:cs="Times New Roman"/>
          <w:color w:val="000000"/>
          <w:spacing w:val="0"/>
          <w:w w:val="100"/>
          <w:position w:val="0"/>
          <w:shd w:val="clear" w:color="auto" w:fill="auto"/>
          <w:lang w:val="en-US" w:eastAsia="en-US" w:bidi="en-US"/>
        </w:rPr>
        <w:t xml:space="preserve"> 1816); those in Stobaeus are generally considered spurious. Ennius translated some poems of this kind, included in his book of satires, under the name of </w:t>
      </w:r>
      <w:r>
        <w:rPr>
          <w:rFonts w:ascii="Times New Roman" w:eastAsia="Times New Roman" w:hAnsi="Times New Roman" w:cs="Times New Roman"/>
          <w:i/>
          <w:iCs/>
          <w:color w:val="000000"/>
          <w:spacing w:val="0"/>
          <w:w w:val="100"/>
          <w:position w:val="0"/>
          <w:shd w:val="clear" w:color="auto" w:fill="auto"/>
          <w:lang w:val="en-US" w:eastAsia="en-US" w:bidi="en-US"/>
        </w:rPr>
        <w:t>Sota.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 xml:space="preserve">pope from about 167 to 174. He wrote to the Church of Corinth and sent it aid. His letter is mentioned in the reply given by Dionysius, bishop of Corinth, and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thinks it can be identified with the second so-called epistle of Clement to the Corinthians.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SOTHEBY,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WILLIAM </w:t>
      </w:r>
      <w:r>
        <w:rPr>
          <w:rFonts w:ascii="Times New Roman" w:eastAsia="Times New Roman" w:hAnsi="Times New Roman" w:cs="Times New Roman"/>
          <w:color w:val="000000"/>
          <w:spacing w:val="0"/>
          <w:w w:val="100"/>
          <w:position w:val="0"/>
          <w:shd w:val="clear" w:color="auto" w:fill="auto"/>
          <w:lang w:val="en-US" w:eastAsia="en-US" w:bidi="en-US"/>
        </w:rPr>
        <w:t>(1757-1833), English author, was horn in London on the 9th of November 1757. He was educated at Harrow, and subsequently procured a commission in a cavalry regiment. In 1780 he retired from the army on his marriage and devoted himself to literature, becoming a prominent figure in London literary society. His ample means enabled him to play the part of patron to many struggling authors, and his friends included Scott, Byron, Wordsworth, Coleridge, Southey, Hallam and Tom Moore. He himself soon acquired a consider</w:t>
        <w:softHyphen/>
        <w:t>able reputation as a translator, his verse translation of Virgil’s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Georgics</w:t>
      </w:r>
      <w:r>
        <w:rPr>
          <w:rFonts w:ascii="Times New Roman" w:eastAsia="Times New Roman" w:hAnsi="Times New Roman" w:cs="Times New Roman"/>
          <w:color w:val="000000"/>
          <w:spacing w:val="0"/>
          <w:w w:val="100"/>
          <w:position w:val="0"/>
          <w:shd w:val="clear" w:color="auto" w:fill="auto"/>
          <w:lang w:val="en-US" w:eastAsia="en-US" w:bidi="en-US"/>
        </w:rPr>
        <w:t xml:space="preserve"> (1800) being specially praised by contemporary critics, while in later life he published translations of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He also wrote several historical tragedies for the stage, of which one was acted, and some poems. He died on the 30th of December 1833.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SOTHERN, EDWARD ASKEW </w:t>
      </w:r>
      <w:r>
        <w:rPr>
          <w:rFonts w:ascii="Times New Roman" w:eastAsia="Times New Roman" w:hAnsi="Times New Roman" w:cs="Times New Roman"/>
          <w:color w:val="000000"/>
          <w:spacing w:val="0"/>
          <w:w w:val="100"/>
          <w:position w:val="0"/>
          <w:shd w:val="clear" w:color="auto" w:fill="auto"/>
          <w:lang w:val="en-US" w:eastAsia="en-US" w:bidi="en-US"/>
        </w:rPr>
        <w:t>(1826-1881), English actor, was born in Liverpool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April 1826, the son of a merchant. He began acting as an amateur, and in 1849 drifted into a professional engagement with a dramatic company at St Heliers in Jersey, where he appeared as Claude Melnotte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Bulwer Lytton’s </w:t>
      </w:r>
      <w:r>
        <w:rPr>
          <w:rFonts w:ascii="Times New Roman" w:eastAsia="Times New Roman" w:hAnsi="Times New Roman" w:cs="Times New Roman"/>
          <w:i/>
          <w:iCs/>
          <w:color w:val="000000"/>
          <w:spacing w:val="0"/>
          <w:w w:val="100"/>
          <w:position w:val="0"/>
          <w:shd w:val="clear" w:color="auto" w:fill="auto"/>
          <w:lang w:val="en-US" w:eastAsia="en-US" w:bidi="en-US"/>
        </w:rPr>
        <w:t>Lady of Lyons.</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then and 1858 he played in various companies without particular success, in Birmingham and in America, where he went in 1852. On the 12th of May 1858 Tom Taylor’s </w:t>
      </w:r>
      <w:r>
        <w:rPr>
          <w:rFonts w:ascii="Times New Roman" w:eastAsia="Times New Roman" w:hAnsi="Times New Roman" w:cs="Times New Roman"/>
          <w:i/>
          <w:iCs/>
          <w:color w:val="000000"/>
          <w:spacing w:val="0"/>
          <w:w w:val="100"/>
          <w:position w:val="0"/>
          <w:shd w:val="clear" w:color="auto" w:fill="auto"/>
          <w:lang w:val="en-US" w:eastAsia="en-US" w:bidi="en-US"/>
        </w:rPr>
        <w:t>Our American Cousin,</w:t>
      </w:r>
      <w:r>
        <w:rPr>
          <w:rFonts w:ascii="Times New Roman" w:eastAsia="Times New Roman" w:hAnsi="Times New Roman" w:cs="Times New Roman"/>
          <w:color w:val="000000"/>
          <w:spacing w:val="0"/>
          <w:w w:val="100"/>
          <w:position w:val="0"/>
          <w:shd w:val="clear" w:color="auto" w:fill="auto"/>
          <w:lang w:val="en-US" w:eastAsia="en-US" w:bidi="en-US"/>
        </w:rPr>
        <w:t xml:space="preserve"> a play of no special merit, was brought out in New York, with Southern in the small part of Lord Dundreary, a caricature of an English nobleman. He gradually worked up the humour of this part so that it became the central figure of the play. In 1861, when it was produced at the Haymarket Theatre, in London, he made such a hit that the piece ran for nearly five hundred nights: “ Dundreary whiskers ” became the fashion, and Dundreary this, that or the other made its appearance on every side. At various times Sothern revived the character, which retained its popu</w:t>
        <w:softHyphen/>
        <w:t>larity in spite of all the extravagances to which he developed its amusing features; and his name will always be famous in con</w:t>
        <w:softHyphen/>
        <w:t xml:space="preserve">nexion with this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W. Robertson’s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David Garrick </w:t>
      </w:r>
      <w:r>
        <w:rPr>
          <w:rFonts w:ascii="Times New Roman" w:eastAsia="Times New Roman" w:hAnsi="Times New Roman" w:cs="Times New Roman"/>
          <w:color w:val="000000"/>
          <w:spacing w:val="0"/>
          <w:w w:val="100"/>
          <w:position w:val="0"/>
          <w:shd w:val="clear" w:color="auto" w:fill="auto"/>
          <w:lang w:val="en-US" w:eastAsia="en-US" w:bidi="en-US"/>
        </w:rPr>
        <w:t xml:space="preserve">(1864) he again had a great success, his acting in the title-part, which he created, being wonderfully effective. He won wide popularity also from his interpretation of Sam Slingsby in Oxenford’s </w:t>
      </w:r>
      <w:r>
        <w:rPr>
          <w:rFonts w:ascii="Times New Roman" w:eastAsia="Times New Roman" w:hAnsi="Times New Roman" w:cs="Times New Roman"/>
          <w:i/>
          <w:iCs/>
          <w:color w:val="000000"/>
          <w:spacing w:val="0"/>
          <w:w w:val="100"/>
          <w:position w:val="0"/>
          <w:shd w:val="clear" w:color="auto" w:fill="auto"/>
          <w:lang w:val="en-US" w:eastAsia="en-US" w:bidi="en-US"/>
        </w:rPr>
        <w:t>Brother Sam</w:t>
      </w:r>
      <w:r>
        <w:rPr>
          <w:rFonts w:ascii="Times New Roman" w:eastAsia="Times New Roman" w:hAnsi="Times New Roman" w:cs="Times New Roman"/>
          <w:color w:val="000000"/>
          <w:spacing w:val="0"/>
          <w:w w:val="100"/>
          <w:position w:val="0"/>
          <w:shd w:val="clear" w:color="auto" w:fill="auto"/>
          <w:lang w:val="en-US" w:eastAsia="en-US" w:bidi="en-US"/>
        </w:rPr>
        <w:t xml:space="preserve"> (1865). Sothern was a born comedian, and off the stage had a passion for practical joking that amounted almost to a mania. His house in Kensington was a resort for people of fashion, and he was as much a favourite in America as in the United Kingdom. He died in London on the 21st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January 1881.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Sothern had three sons, all actors, the second of them,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Sothern</w:t>
      </w:r>
      <w:r>
        <w:rPr>
          <w:rFonts w:ascii="Times New Roman" w:eastAsia="Times New Roman" w:hAnsi="Times New Roman" w:cs="Times New Roman"/>
          <w:color w:val="000000"/>
          <w:spacing w:val="0"/>
          <w:w w:val="100"/>
          <w:position w:val="0"/>
          <w:shd w:val="clear" w:color="auto" w:fill="auto"/>
          <w:lang w:val="en-US" w:eastAsia="en-US" w:bidi="en-US"/>
        </w:rPr>
        <w:t xml:space="preserve"> (b. 1859), being prominent on the American stage.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SOTHIC PERIOD, </w:t>
      </w:r>
      <w:r>
        <w:rPr>
          <w:rFonts w:ascii="Times New Roman" w:eastAsia="Times New Roman" w:hAnsi="Times New Roman" w:cs="Times New Roman"/>
          <w:color w:val="000000"/>
          <w:spacing w:val="0"/>
          <w:w w:val="100"/>
          <w:position w:val="0"/>
          <w:shd w:val="clear" w:color="auto" w:fill="auto"/>
          <w:lang w:val="en-US" w:eastAsia="en-US" w:bidi="en-US"/>
        </w:rPr>
        <w:t>in ancient Egyptian chronology, the period in which the year of 365 days circled in succession through all the seasons. The tropical year, determined as it was in Egypt by the heliacal rising of Sirius (Sothis), was almost exactly the Julian year of precisely 365</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days (differing from the true solar year, which was 11 minutes less than this). The sothic period was thus 1461 years.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Egypt, </w:t>
      </w:r>
      <w:r>
        <w:rPr>
          <w:rFonts w:ascii="Times New Roman" w:eastAsia="Times New Roman" w:hAnsi="Times New Roman" w:cs="Times New Roman"/>
          <w:i/>
          <w:iCs/>
          <w:color w:val="000000"/>
          <w:spacing w:val="0"/>
          <w:w w:val="100"/>
          <w:position w:val="0"/>
          <w:shd w:val="clear" w:color="auto" w:fill="auto"/>
          <w:lang w:val="en-US" w:eastAsia="en-US" w:bidi="en-US"/>
        </w:rPr>
        <w:t>Ancient,</w:t>
      </w:r>
      <w:r>
        <w:rPr>
          <w:rFonts w:ascii="Times New Roman" w:eastAsia="Times New Roman" w:hAnsi="Times New Roman" w:cs="Times New Roman"/>
          <w:color w:val="000000"/>
          <w:spacing w:val="0"/>
          <w:w w:val="100"/>
          <w:position w:val="0"/>
          <w:shd w:val="clear" w:color="auto" w:fill="auto"/>
          <w:lang w:val="en-US" w:eastAsia="en-US" w:bidi="en-US"/>
        </w:rPr>
        <w:t xml:space="preserve"> § F. “ Chronology.”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SOTO, FERDINANDO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[Fernando,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Hernando]</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DE </w:t>
      </w:r>
      <w:r>
        <w:rPr>
          <w:rFonts w:ascii="Times New Roman" w:eastAsia="Times New Roman" w:hAnsi="Times New Roman" w:cs="Times New Roman"/>
          <w:color w:val="000000"/>
          <w:spacing w:val="0"/>
          <w:w w:val="100"/>
          <w:position w:val="0"/>
          <w:shd w:val="clear" w:color="auto" w:fill="auto"/>
          <w:lang w:val="en-US" w:eastAsia="en-US" w:bidi="en-US"/>
        </w:rPr>
        <w:t xml:space="preserve">(1496?- 1542), Spanish captain and explorer, often, though wrongly, called the discoverer of the Mississippi (first sighted by Alonzo de Pineda in 1519), was born at Jerez de </w:t>
      </w:r>
      <w:r>
        <w:rPr>
          <w:rFonts w:ascii="Times New Roman" w:eastAsia="Times New Roman" w:hAnsi="Times New Roman" w:cs="Times New Roman"/>
          <w:color w:val="000000"/>
          <w:spacing w:val="0"/>
          <w:w w:val="100"/>
          <w:position w:val="0"/>
          <w:shd w:val="clear" w:color="auto" w:fill="auto"/>
          <w:lang w:val="de-DE" w:eastAsia="de-DE" w:bidi="de-DE"/>
        </w:rPr>
        <w:t xml:space="preserve">los </w:t>
      </w:r>
      <w:r>
        <w:rPr>
          <w:rFonts w:ascii="Times New Roman" w:eastAsia="Times New Roman" w:hAnsi="Times New Roman" w:cs="Times New Roman"/>
          <w:color w:val="000000"/>
          <w:spacing w:val="0"/>
          <w:w w:val="100"/>
          <w:position w:val="0"/>
          <w:shd w:val="clear" w:color="auto" w:fill="auto"/>
          <w:lang w:val="en-US" w:eastAsia="en-US" w:bidi="en-US"/>
        </w:rPr>
        <w:t xml:space="preserve">Caballeros, in </w:t>
      </w:r>
      <w:r>
        <w:rPr>
          <w:rFonts w:ascii="Times New Roman" w:eastAsia="Times New Roman" w:hAnsi="Times New Roman" w:cs="Times New Roman"/>
          <w:color w:val="000000"/>
          <w:spacing w:val="0"/>
          <w:w w:val="100"/>
          <w:position w:val="0"/>
          <w:shd w:val="clear" w:color="auto" w:fill="auto"/>
          <w:lang w:val="de-DE" w:eastAsia="de-DE" w:bidi="de-DE"/>
        </w:rPr>
        <w:t>Estre</w:t>
        <w:softHyphen/>
        <w:t xml:space="preserve">madura, </w:t>
      </w:r>
      <w:r>
        <w:rPr>
          <w:rFonts w:ascii="Times New Roman" w:eastAsia="Times New Roman" w:hAnsi="Times New Roman" w:cs="Times New Roman"/>
          <w:color w:val="000000"/>
          <w:spacing w:val="0"/>
          <w:w w:val="100"/>
          <w:position w:val="0"/>
          <w:shd w:val="clear" w:color="auto" w:fill="auto"/>
          <w:lang w:val="en-US" w:eastAsia="en-US" w:bidi="en-US"/>
        </w:rPr>
        <w:t>of an impoverished family of good position, and was indebted to the favour of Pedrarias d’Avila for the means of pursuing his studies at the university. In 1519 he accompanied d’Avila on his second expedition to Darien. In 1528 he explored the coast of Guatemala and Yucatan, and in 1532 he led 300 volunteers to reinforce Pizarro in Peru. He played a prominent part in the conquest of the Incas’ kingdom (helping to seize and guard the person of Atahualpa, discovering a pass through the mountains to Cuzco, &amp;c.), and returned to Spain with a fortune of 180,000 ducats, which enabled him to marry the daughter of his old patron d’Avila, and to maintain the state of a nobleman. Excited by the reports of Alvaro Nuñez (Cabeza de Vaca) and others as to the wealth of Florida (a term then commonly used in a much wider extension than subse</w:t>
        <w:softHyphen/>
        <w:t>quently), he sold great part of his property, gathered a force of 620 foot and 123 horse, armed four ships, and obtained from Charles V. a commission as "adelantado of the Lands of Florida” and governor of Cuba. Sailing from San Lucar in April 1538, he first went to Havana, his advanced base of operations; starting thence on the 12th of May 1539 he landed in the same month in Espiritu Santo Bay, on the west coast of the present state of Florida. For nearly four years he led his men in fruitless search of gold hither and thither over the south-east of the North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The word is also used of the dancers in indecent ballets, to which such poems were probably written as an accompaniment. In Greek and Latin authors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κίναώοτ </w:t>
      </w:r>
      <w:r>
        <w:rPr>
          <w:rFonts w:ascii="Times New Roman" w:eastAsia="Times New Roman" w:hAnsi="Times New Roman" w:cs="Times New Roman"/>
          <w:i/>
          <w:iCs/>
          <w:color w:val="000000"/>
          <w:spacing w:val="0"/>
          <w:w w:val="100"/>
          <w:position w:val="0"/>
          <w:shd w:val="clear" w:color="auto" w:fill="auto"/>
          <w:lang w:val="en-US" w:eastAsia="en-US" w:bidi="en-US"/>
        </w:rPr>
        <w:t>(cinaedus)</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means "catamite.”</w:t>
      </w:r>
    </w:p>
    <w:p>
      <w:pPr>
        <w:widowControl w:val="0"/>
        <w:spacing w:line="1" w:lineRule="exact"/>
      </w:pPr>
    </w:p>
    <w:sectPr>
      <w:footnotePr>
        <w:pos w:val="pageBottom"/>
        <w:numFmt w:val="decimal"/>
        <w:numRestart w:val="continuous"/>
      </w:footnotePr>
      <w:type w:val="continuous"/>
      <w:pgSz w:w="12240" w:h="15840"/>
      <w:pgMar w:top="988" w:left="752" w:right="1064"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