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said of Canada. It is true the British colonies have not the power of declaring war or peace, or regulating the foreign policy of the empire; and the Crown may disallow a measure passed by the dominion parliament (J. G. Bourinot, </w:t>
      </w:r>
      <w:r>
        <w:rPr>
          <w:i/>
          <w:iCs/>
          <w:color w:val="000000"/>
          <w:spacing w:val="0"/>
          <w:w w:val="100"/>
          <w:position w:val="0"/>
          <w:sz w:val="18"/>
          <w:szCs w:val="18"/>
          <w:shd w:val="clear" w:color="auto" w:fill="auto"/>
          <w:lang w:val="en-US" w:eastAsia="en-US" w:bidi="en-US"/>
        </w:rPr>
        <w:t>Constitution of Canada,</w:t>
      </w:r>
      <w:r>
        <w:rPr>
          <w:color w:val="000000"/>
          <w:spacing w:val="0"/>
          <w:w w:val="100"/>
          <w:position w:val="0"/>
          <w:sz w:val="18"/>
          <w:szCs w:val="18"/>
          <w:shd w:val="clear" w:color="auto" w:fill="auto"/>
          <w:lang w:val="en-US" w:eastAsia="en-US" w:bidi="en-US"/>
        </w:rPr>
        <w:t xml:space="preserve"> 1888, p. 75; </w:t>
      </w:r>
      <w:r>
        <w:rPr>
          <w:color w:val="000000"/>
          <w:spacing w:val="0"/>
          <w:w w:val="100"/>
          <w:position w:val="0"/>
          <w:sz w:val="18"/>
          <w:szCs w:val="18"/>
          <w:shd w:val="clear" w:color="auto" w:fill="auto"/>
          <w:lang w:val="fr-FR" w:eastAsia="fr-FR" w:bidi="fr-FR"/>
        </w:rPr>
        <w:t xml:space="preserve">A. H. </w:t>
      </w:r>
      <w:r>
        <w:rPr>
          <w:color w:val="000000"/>
          <w:spacing w:val="0"/>
          <w:w w:val="100"/>
          <w:position w:val="0"/>
          <w:sz w:val="18"/>
          <w:szCs w:val="18"/>
          <w:shd w:val="clear" w:color="auto" w:fill="auto"/>
          <w:lang w:val="en-US" w:eastAsia="en-US" w:bidi="en-US"/>
        </w:rPr>
        <w:t xml:space="preserve">F. Lefroy, </w:t>
      </w:r>
      <w:r>
        <w:rPr>
          <w:i/>
          <w:iCs/>
          <w:color w:val="000000"/>
          <w:spacing w:val="0"/>
          <w:w w:val="100"/>
          <w:position w:val="0"/>
          <w:sz w:val="18"/>
          <w:szCs w:val="18"/>
          <w:shd w:val="clear" w:color="auto" w:fill="auto"/>
          <w:lang w:val="en-US" w:eastAsia="en-US" w:bidi="en-US"/>
        </w:rPr>
        <w:t xml:space="preserve">Legislative Power in Canada, </w:t>
      </w:r>
      <w:r>
        <w:rPr>
          <w:color w:val="000000"/>
          <w:spacing w:val="0"/>
          <w:w w:val="100"/>
          <w:position w:val="0"/>
          <w:sz w:val="18"/>
          <w:szCs w:val="18"/>
          <w:shd w:val="clear" w:color="auto" w:fill="auto"/>
          <w:lang w:val="en-US" w:eastAsia="en-US" w:bidi="en-US"/>
        </w:rPr>
        <w:t xml:space="preserve">244). Colonial legislatures are said to have delegated powers. It is more accurate to say that as to certain matters the legislature of the Canadian Dominion is sovereign, and as to certain others that it is not (Lefroy, 244; Quick and Garran, </w:t>
      </w:r>
      <w:r>
        <w:rPr>
          <w:i/>
          <w:iCs/>
          <w:color w:val="000000"/>
          <w:spacing w:val="0"/>
          <w:w w:val="100"/>
          <w:position w:val="0"/>
          <w:sz w:val="18"/>
          <w:szCs w:val="18"/>
          <w:shd w:val="clear" w:color="auto" w:fill="auto"/>
          <w:lang w:val="en-US" w:eastAsia="en-US" w:bidi="en-US"/>
        </w:rPr>
        <w:t>Australian Common</w:t>
        <w:softHyphen/>
        <w:t>wealth,</w:t>
      </w:r>
      <w:r>
        <w:rPr>
          <w:color w:val="000000"/>
          <w:spacing w:val="0"/>
          <w:w w:val="100"/>
          <w:position w:val="0"/>
          <w:sz w:val="18"/>
          <w:szCs w:val="18"/>
          <w:shd w:val="clear" w:color="auto" w:fill="auto"/>
          <w:lang w:val="en-US" w:eastAsia="en-US" w:bidi="en-US"/>
        </w:rPr>
        <w:t xml:space="preserve"> 328; Dicey, 106) ; and as to some matters they are in fact, if not in form, </w:t>
      </w:r>
      <w:r>
        <w:rPr>
          <w:i/>
          <w:iCs/>
          <w:color w:val="000000"/>
          <w:spacing w:val="0"/>
          <w:w w:val="100"/>
          <w:position w:val="0"/>
          <w:sz w:val="18"/>
          <w:szCs w:val="18"/>
          <w:shd w:val="clear" w:color="auto" w:fill="auto"/>
          <w:lang w:val="en-US" w:eastAsia="en-US" w:bidi="en-US"/>
        </w:rPr>
        <w:t>universitates superiorem non reeognoseentes</w:t>
      </w:r>
      <w:r>
        <w:rPr>
          <w:color w:val="000000"/>
          <w:spacing w:val="0"/>
          <w:w w:val="100"/>
          <w:position w:val="0"/>
          <w:sz w:val="18"/>
          <w:szCs w:val="18"/>
          <w:shd w:val="clear" w:color="auto" w:fill="auto"/>
          <w:lang w:val="en-US" w:eastAsia="en-US" w:bidi="en-US"/>
        </w:rPr>
        <w:t xml:space="preserve"> (Quick and Garran, 319); or that they are states in process of making. Occasionally the expression “ subject of a colony ” is now used (</w:t>
      </w:r>
      <w:r>
        <w:rPr>
          <w:i/>
          <w:iCs/>
          <w:color w:val="000000"/>
          <w:spacing w:val="0"/>
          <w:w w:val="100"/>
          <w:position w:val="0"/>
          <w:sz w:val="18"/>
          <w:szCs w:val="18"/>
          <w:shd w:val="clear" w:color="auto" w:fill="auto"/>
          <w:lang w:val="en-US" w:eastAsia="en-US" w:bidi="en-US"/>
        </w:rPr>
        <w:t>Low</w:t>
      </w:r>
      <w:r>
        <w:rPr>
          <w:color w:val="000000"/>
          <w:spacing w:val="0"/>
          <w:w w:val="100"/>
          <w:position w:val="0"/>
          <w:sz w:val="18"/>
          <w:szCs w:val="18"/>
          <w:shd w:val="clear" w:color="auto" w:fill="auto"/>
          <w:lang w:val="en-US" w:eastAsia="en-US" w:bidi="en-US"/>
        </w:rPr>
        <w:t xml:space="preserve"> v. </w:t>
      </w:r>
      <w:r>
        <w:rPr>
          <w:i/>
          <w:iCs/>
          <w:color w:val="000000"/>
          <w:spacing w:val="0"/>
          <w:w w:val="100"/>
          <w:position w:val="0"/>
          <w:sz w:val="18"/>
          <w:szCs w:val="18"/>
          <w:shd w:val="clear" w:color="auto" w:fill="auto"/>
          <w:lang w:val="en-US" w:eastAsia="en-US" w:bidi="en-US"/>
        </w:rPr>
        <w:t>Routledge,</w:t>
      </w:r>
      <w:r>
        <w:rPr>
          <w:color w:val="000000"/>
          <w:spacing w:val="0"/>
          <w:w w:val="100"/>
          <w:position w:val="0"/>
          <w:sz w:val="18"/>
          <w:szCs w:val="18"/>
          <w:shd w:val="clear" w:color="auto" w:fill="auto"/>
          <w:lang w:val="en-US" w:eastAsia="en-US" w:bidi="en-US"/>
        </w:rPr>
        <w:t xml:space="preserve"> L.R. 1 Ch. 42; Lefroy, </w:t>
      </w:r>
      <w:r>
        <w:rPr>
          <w:i/>
          <w:iCs/>
          <w:color w:val="000000"/>
          <w:spacing w:val="0"/>
          <w:w w:val="100"/>
          <w:position w:val="0"/>
          <w:sz w:val="18"/>
          <w:szCs w:val="18"/>
          <w:shd w:val="clear" w:color="auto" w:fill="auto"/>
          <w:lang w:val="en-US" w:eastAsia="en-US" w:bidi="en-US"/>
        </w:rPr>
        <w:t>Legislative Power in Canada,</w:t>
      </w:r>
      <w:r>
        <w:rPr>
          <w:color w:val="000000"/>
          <w:spacing w:val="0"/>
          <w:w w:val="100"/>
          <w:position w:val="0"/>
          <w:sz w:val="18"/>
          <w:szCs w:val="18"/>
          <w:shd w:val="clear" w:color="auto" w:fill="auto"/>
          <w:lang w:val="en-US" w:eastAsia="en-US" w:bidi="en-US"/>
        </w:rPr>
        <w:t xml:space="preserve"> 329). It has been decided by the judicial committee of the Privy Council that the colonial legislatures are not mere delegates of the Imperial parliament (A. B. Keith, </w:t>
      </w:r>
      <w:r>
        <w:rPr>
          <w:i/>
          <w:iCs/>
          <w:color w:val="000000"/>
          <w:spacing w:val="0"/>
          <w:w w:val="100"/>
          <w:position w:val="0"/>
          <w:sz w:val="18"/>
          <w:szCs w:val="18"/>
          <w:shd w:val="clear" w:color="auto" w:fill="auto"/>
          <w:lang w:val="en-US" w:eastAsia="en-US" w:bidi="en-US"/>
        </w:rPr>
        <w:t>Responsible Government in the Colonies,</w:t>
      </w:r>
      <w:r>
        <w:rPr>
          <w:color w:val="000000"/>
          <w:spacing w:val="0"/>
          <w:w w:val="100"/>
          <w:position w:val="0"/>
          <w:sz w:val="18"/>
          <w:szCs w:val="18"/>
          <w:shd w:val="clear" w:color="auto" w:fill="auto"/>
          <w:lang w:val="en-US" w:eastAsia="en-US" w:bidi="en-US"/>
        </w:rPr>
        <w:t xml:space="preserve"> p. 81). At all events, the self-governing colonies may be classed as “ half sovereign states ” or “ quasi- sovereign.”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Many attempts have been made to enumerate the attributes of sovereignty,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the regalia, prerogatives, &amp;c., as they were caIled. For example, Bodin gives a list of the properties of </w:t>
      </w:r>
      <w:r>
        <w:rPr>
          <w:i/>
          <w:iCs/>
          <w:color w:val="000000"/>
          <w:spacing w:val="0"/>
          <w:w w:val="100"/>
          <w:position w:val="0"/>
          <w:sz w:val="18"/>
          <w:szCs w:val="18"/>
          <w:shd w:val="clear" w:color="auto" w:fill="auto"/>
          <w:lang w:val="en-US" w:eastAsia="en-US" w:bidi="en-US"/>
        </w:rPr>
        <w:t>majestas</w:t>
      </w:r>
      <w:r>
        <w:rPr>
          <w:color w:val="000000"/>
          <w:spacing w:val="0"/>
          <w:w w:val="100"/>
          <w:position w:val="0"/>
          <w:sz w:val="18"/>
          <w:szCs w:val="18"/>
          <w:shd w:val="clear" w:color="auto" w:fill="auto"/>
          <w:lang w:val="en-US" w:eastAsia="en-US" w:bidi="en-US"/>
        </w:rPr>
        <w:t xml:space="preserve"> or sovereignty: (a) “ Legem universis, &amp;c., singulis civibus dare posse; (b) bellum indicere aut pacem inire; (c) to appoint and change magistrates; (</w:t>
      </w:r>
      <w:r>
        <w:rPr>
          <w:i/>
          <w:iCs/>
          <w:color w:val="000000"/>
          <w:spacing w:val="0"/>
          <w:w w:val="100"/>
          <w:position w:val="0"/>
          <w:sz w:val="18"/>
          <w:szCs w:val="18"/>
          <w:shd w:val="clear" w:color="auto" w:fill="auto"/>
          <w:lang w:val="en-US" w:eastAsia="en-US" w:bidi="en-US"/>
        </w:rPr>
        <w:t>d)</w:t>
      </w:r>
      <w:r>
        <w:rPr>
          <w:color w:val="000000"/>
          <w:spacing w:val="0"/>
          <w:w w:val="100"/>
          <w:position w:val="0"/>
          <w:sz w:val="18"/>
          <w:szCs w:val="18"/>
          <w:shd w:val="clear" w:color="auto" w:fill="auto"/>
          <w:lang w:val="en-US" w:eastAsia="en-US" w:bidi="en-US"/>
        </w:rPr>
        <w:t xml:space="preserve"> power of final appeal; (c) power of pardon; (f) raising revenue; (g) coining money ” (</w:t>
      </w:r>
      <w:r>
        <w:rPr>
          <w:i/>
          <w:iCs/>
          <w:color w:val="000000"/>
          <w:spacing w:val="0"/>
          <w:w w:val="100"/>
          <w:position w:val="0"/>
          <w:sz w:val="18"/>
          <w:szCs w:val="18"/>
          <w:shd w:val="clear" w:color="auto" w:fill="auto"/>
          <w:lang w:val="en-US" w:eastAsia="en-US" w:bidi="en-US"/>
        </w:rPr>
        <w:t>De republica,</w:t>
      </w:r>
      <w:r>
        <w:rPr>
          <w:color w:val="000000"/>
          <w:spacing w:val="0"/>
          <w:w w:val="100"/>
          <w:position w:val="0"/>
          <w:sz w:val="18"/>
          <w:szCs w:val="18"/>
          <w:shd w:val="clear" w:color="auto" w:fill="auto"/>
          <w:lang w:val="en-US" w:eastAsia="en-US" w:bidi="en-US"/>
        </w:rPr>
        <w:t xml:space="preserve"> vol. i. ch. 10). Leibnitz, with the middle ages in view, divides the attributes or faculties into two classes: </w:t>
      </w:r>
      <w:r>
        <w:rPr>
          <w:i/>
          <w:iCs/>
          <w:color w:val="000000"/>
          <w:spacing w:val="0"/>
          <w:w w:val="100"/>
          <w:position w:val="0"/>
          <w:sz w:val="18"/>
          <w:szCs w:val="18"/>
          <w:shd w:val="clear" w:color="auto" w:fill="auto"/>
          <w:lang w:val="en-US" w:eastAsia="en-US" w:bidi="en-US"/>
        </w:rPr>
        <w:t xml:space="preserve">regalia </w:t>
      </w:r>
      <w:r>
        <w:rPr>
          <w:i/>
          <w:iCs/>
          <w:color w:val="000000"/>
          <w:spacing w:val="0"/>
          <w:w w:val="100"/>
          <w:position w:val="0"/>
          <w:sz w:val="18"/>
          <w:szCs w:val="18"/>
          <w:shd w:val="clear" w:color="auto" w:fill="auto"/>
          <w:lang w:val="fr-FR" w:eastAsia="fr-FR" w:bidi="fr-FR"/>
        </w:rPr>
        <w:t>majora</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en-US" w:eastAsia="en-US" w:bidi="en-US"/>
        </w:rPr>
        <w:t>regalia minora.</w:t>
      </w:r>
      <w:r>
        <w:rPr>
          <w:color w:val="000000"/>
          <w:spacing w:val="0"/>
          <w:w w:val="100"/>
          <w:position w:val="0"/>
          <w:sz w:val="18"/>
          <w:szCs w:val="18"/>
          <w:shd w:val="clear" w:color="auto" w:fill="auto"/>
          <w:lang w:val="en-US" w:eastAsia="en-US" w:bidi="en-US"/>
        </w:rPr>
        <w:t xml:space="preserve"> Hobbes </w:t>
      </w:r>
      <w:r>
        <w:rPr>
          <w:i/>
          <w:iCs/>
          <w:color w:val="000000"/>
          <w:spacing w:val="0"/>
          <w:w w:val="100"/>
          <w:position w:val="0"/>
          <w:sz w:val="18"/>
          <w:szCs w:val="18"/>
          <w:shd w:val="clear" w:color="auto" w:fill="auto"/>
          <w:lang w:val="en-US" w:eastAsia="en-US" w:bidi="en-US"/>
        </w:rPr>
        <w:t>{Levia</w:t>
        <w:softHyphen/>
        <w:t>than),</w:t>
      </w:r>
      <w:r>
        <w:rPr>
          <w:color w:val="000000"/>
          <w:spacing w:val="0"/>
          <w:w w:val="100"/>
          <w:position w:val="0"/>
          <w:sz w:val="18"/>
          <w:szCs w:val="18"/>
          <w:shd w:val="clear" w:color="auto" w:fill="auto"/>
          <w:lang w:val="en-US" w:eastAsia="en-US" w:bidi="en-US"/>
        </w:rPr>
        <w:t xml:space="preserve"> analysing these attributes, enumerates twelve attributes. “ These,” he says, “ are the marks which make the essence of sovereignty, and which are the marks whereby a man may discover in what man, or assembly of men, the sovereign power is placed or resideth.” He also describes them as “ inseparable rights.” </w:t>
      </w:r>
      <w:r>
        <w:rPr>
          <w:color w:val="000000"/>
          <w:spacing w:val="0"/>
          <w:w w:val="100"/>
          <w:position w:val="0"/>
          <w:sz w:val="18"/>
          <w:szCs w:val="18"/>
          <w:shd w:val="clear" w:color="auto" w:fill="auto"/>
          <w:lang w:val="fr-FR" w:eastAsia="fr-FR" w:bidi="fr-FR"/>
        </w:rPr>
        <w:t xml:space="preserve">Bluntschli </w:t>
      </w:r>
      <w:r>
        <w:rPr>
          <w:i/>
          <w:iCs/>
          <w:color w:val="000000"/>
          <w:spacing w:val="0"/>
          <w:w w:val="100"/>
          <w:position w:val="0"/>
          <w:sz w:val="18"/>
          <w:szCs w:val="18"/>
          <w:shd w:val="clear" w:color="auto" w:fill="auto"/>
          <w:lang w:val="de-DE" w:eastAsia="de-DE" w:bidi="de-DE"/>
        </w:rPr>
        <w:t>{Allgemeine Staatslehre,</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fr-FR" w:eastAsia="fr-FR" w:bidi="fr-FR"/>
        </w:rPr>
        <w:t xml:space="preserve">i. </w:t>
      </w:r>
      <w:r>
        <w:rPr>
          <w:color w:val="000000"/>
          <w:spacing w:val="0"/>
          <w:w w:val="100"/>
          <w:position w:val="0"/>
          <w:sz w:val="18"/>
          <w:szCs w:val="18"/>
          <w:shd w:val="clear" w:color="auto" w:fill="auto"/>
          <w:lang w:val="en-US" w:eastAsia="en-US" w:bidi="en-US"/>
        </w:rPr>
        <w:t xml:space="preserve">575) enumerates these attributes: (a) right of recognition of </w:t>
      </w:r>
      <w:r>
        <w:rPr>
          <w:i/>
          <w:iCs/>
          <w:color w:val="000000"/>
          <w:spacing w:val="0"/>
          <w:w w:val="100"/>
          <w:position w:val="0"/>
          <w:sz w:val="18"/>
          <w:szCs w:val="18"/>
          <w:shd w:val="clear" w:color="auto" w:fill="auto"/>
          <w:lang w:val="en-US" w:eastAsia="en-US" w:bidi="en-US"/>
        </w:rPr>
        <w:t xml:space="preserve">majestas; </w:t>
      </w:r>
      <w:r>
        <w:rPr>
          <w:color w:val="000000"/>
          <w:spacing w:val="0"/>
          <w:w w:val="100"/>
          <w:position w:val="0"/>
          <w:sz w:val="18"/>
          <w:szCs w:val="18"/>
          <w:shd w:val="clear" w:color="auto" w:fill="auto"/>
          <w:lang w:val="en-US" w:eastAsia="en-US" w:bidi="en-US"/>
        </w:rPr>
        <w:t>(b) independence; (</w:t>
      </w:r>
      <w:r>
        <w:rPr>
          <w:i/>
          <w:iCs/>
          <w:color w:val="000000"/>
          <w:spacing w:val="0"/>
          <w:w w:val="100"/>
          <w:position w:val="0"/>
          <w:sz w:val="18"/>
          <w:szCs w:val="18"/>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 power to determine constitution; (</w:t>
      </w:r>
      <w:r>
        <w:rPr>
          <w:i/>
          <w:iCs/>
          <w:color w:val="000000"/>
          <w:spacing w:val="0"/>
          <w:w w:val="100"/>
          <w:position w:val="0"/>
          <w:sz w:val="18"/>
          <w:szCs w:val="18"/>
          <w:shd w:val="clear" w:color="auto" w:fill="auto"/>
          <w:lang w:val="en-US" w:eastAsia="en-US" w:bidi="en-US"/>
        </w:rPr>
        <w:t>d)</w:t>
      </w:r>
      <w:r>
        <w:rPr>
          <w:color w:val="000000"/>
          <w:spacing w:val="0"/>
          <w:w w:val="100"/>
          <w:position w:val="0"/>
          <w:sz w:val="18"/>
          <w:szCs w:val="18"/>
          <w:shd w:val="clear" w:color="auto" w:fill="auto"/>
          <w:lang w:val="en-US" w:eastAsia="en-US" w:bidi="en-US"/>
        </w:rPr>
        <w:t xml:space="preserve"> right of legislation; (e) action through deposed organs; (f) irre- sponsibility. All of these enumerations are open to the objection that they merely describe the action of the state at a particular time, or indicate a theory of what an ideal state should be.</w:t>
      </w:r>
    </w:p>
    <w:p>
      <w:pPr>
        <w:pStyle w:val="Style3"/>
        <w:keepNext w:val="0"/>
        <w:keepLines w:val="0"/>
        <w:widowControl w:val="0"/>
        <w:shd w:val="clear" w:color="auto" w:fill="auto"/>
        <w:tabs>
          <w:tab w:pos="4342" w:val="left"/>
        </w:tabs>
        <w:bidi w:val="0"/>
        <w:spacing w:line="187"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—The literature of the subject is immense; every book on political science, from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of Plato and the </w:t>
      </w:r>
      <w:r>
        <w:rPr>
          <w:i/>
          <w:iCs/>
          <w:color w:val="000000"/>
          <w:spacing w:val="0"/>
          <w:w w:val="100"/>
          <w:position w:val="0"/>
          <w:shd w:val="clear" w:color="auto" w:fill="auto"/>
          <w:lang w:val="en-US" w:eastAsia="en-US" w:bidi="en-US"/>
        </w:rPr>
        <w:t>Politics</w:t>
      </w:r>
      <w:r>
        <w:rPr>
          <w:color w:val="000000"/>
          <w:spacing w:val="0"/>
          <w:w w:val="100"/>
          <w:position w:val="0"/>
          <w:shd w:val="clear" w:color="auto" w:fill="auto"/>
          <w:lang w:val="en-US" w:eastAsia="en-US" w:bidi="en-US"/>
        </w:rPr>
        <w:t xml:space="preserve"> of Aristotle, has dealt with or touched sovereignty. A few of the chief modern works are: J. C. </w:t>
      </w:r>
      <w:r>
        <w:rPr>
          <w:color w:val="000000"/>
          <w:spacing w:val="0"/>
          <w:w w:val="100"/>
          <w:position w:val="0"/>
          <w:shd w:val="clear" w:color="auto" w:fill="auto"/>
          <w:lang w:val="fr-FR" w:eastAsia="fr-FR" w:bidi="fr-FR"/>
        </w:rPr>
        <w:t xml:space="preserve">Bluntschli, </w:t>
      </w:r>
      <w:r>
        <w:rPr>
          <w:i/>
          <w:iCs/>
          <w:color w:val="000000"/>
          <w:spacing w:val="0"/>
          <w:w w:val="100"/>
          <w:position w:val="0"/>
          <w:shd w:val="clear" w:color="auto" w:fill="auto"/>
          <w:lang w:val="de-DE" w:eastAsia="de-DE" w:bidi="de-DE"/>
        </w:rPr>
        <w:t>Allgemeine Staatslehre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(Munich, 1852); Otto Gierke, </w:t>
      </w:r>
      <w:r>
        <w:rPr>
          <w:i/>
          <w:iCs/>
          <w:color w:val="000000"/>
          <w:spacing w:val="0"/>
          <w:w w:val="100"/>
          <w:position w:val="0"/>
          <w:shd w:val="clear" w:color="auto" w:fill="auto"/>
          <w:lang w:val="de-DE" w:eastAsia="de-DE" w:bidi="de-DE"/>
        </w:rPr>
        <w:t>Das deutsche Genossenschaftsrecht</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1863- </w:t>
      </w:r>
      <w:r>
        <w:rPr>
          <w:color w:val="000000"/>
          <w:spacing w:val="0"/>
          <w:w w:val="100"/>
          <w:position w:val="0"/>
          <w:shd w:val="clear" w:color="auto" w:fill="auto"/>
          <w:lang w:val="de-DE" w:eastAsia="de-DE" w:bidi="de-DE"/>
        </w:rPr>
        <w:t xml:space="preserve">1881); J. Austin, </w:t>
      </w:r>
      <w:r>
        <w:rPr>
          <w:i/>
          <w:iCs/>
          <w:color w:val="000000"/>
          <w:spacing w:val="0"/>
          <w:w w:val="100"/>
          <w:position w:val="0"/>
          <w:shd w:val="clear" w:color="auto" w:fill="auto"/>
          <w:lang w:val="en-US" w:eastAsia="en-US" w:bidi="en-US"/>
        </w:rPr>
        <w:t>Lectures on Jurisprudence</w:t>
      </w:r>
      <w:r>
        <w:rPr>
          <w:color w:val="000000"/>
          <w:spacing w:val="0"/>
          <w:w w:val="100"/>
          <w:position w:val="0"/>
          <w:shd w:val="clear" w:color="auto" w:fill="auto"/>
          <w:lang w:val="en-US" w:eastAsia="en-US" w:bidi="en-US"/>
        </w:rPr>
        <w:t xml:space="preserve"> (3rd ed., </w:t>
      </w:r>
      <w:r>
        <w:rPr>
          <w:color w:val="000000"/>
          <w:spacing w:val="0"/>
          <w:w w:val="100"/>
          <w:position w:val="0"/>
          <w:shd w:val="clear" w:color="auto" w:fill="auto"/>
          <w:lang w:val="de-DE" w:eastAsia="de-DE" w:bidi="de-DE"/>
        </w:rPr>
        <w:t xml:space="preserve">London, 1869); Sir </w:t>
      </w:r>
      <w:r>
        <w:rPr>
          <w:color w:val="000000"/>
          <w:spacing w:val="0"/>
          <w:w w:val="100"/>
          <w:position w:val="0"/>
          <w:shd w:val="clear" w:color="auto" w:fill="auto"/>
          <w:lang w:val="fr-FR" w:eastAsia="fr-FR" w:bidi="fr-FR"/>
        </w:rPr>
        <w:t xml:space="preserve">IL Maine, “Minute </w:t>
      </w:r>
      <w:r>
        <w:rPr>
          <w:color w:val="000000"/>
          <w:spacing w:val="0"/>
          <w:w w:val="100"/>
          <w:position w:val="0"/>
          <w:shd w:val="clear" w:color="auto" w:fill="auto"/>
          <w:lang w:val="en-US" w:eastAsia="en-US" w:bidi="en-US"/>
        </w:rPr>
        <w:t>on the K</w:t>
      </w:r>
      <w:r>
        <w:rPr>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thi</w:t>
      </w:r>
      <w:r>
        <w:rPr>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 xml:space="preserve">r States </w:t>
      </w:r>
      <w:r>
        <w:rPr>
          <w:color w:val="000000"/>
          <w:spacing w:val="0"/>
          <w:w w:val="100"/>
          <w:position w:val="0"/>
          <w:shd w:val="clear" w:color="auto" w:fill="auto"/>
          <w:lang w:val="fr-FR" w:eastAsia="fr-FR" w:bidi="fr-FR"/>
        </w:rPr>
        <w:t xml:space="preserve">” (1864; </w:t>
      </w:r>
      <w:r>
        <w:rPr>
          <w:color w:val="000000"/>
          <w:spacing w:val="0"/>
          <w:w w:val="100"/>
          <w:position w:val="0"/>
          <w:shd w:val="clear" w:color="auto" w:fill="auto"/>
          <w:lang w:val="en-US" w:eastAsia="en-US" w:bidi="en-US"/>
        </w:rPr>
        <w:t xml:space="preserve">printed in </w:t>
      </w:r>
      <w:r>
        <w:rPr>
          <w:i/>
          <w:iCs/>
          <w:color w:val="000000"/>
          <w:spacing w:val="0"/>
          <w:w w:val="100"/>
          <w:position w:val="0"/>
          <w:shd w:val="clear" w:color="auto" w:fill="auto"/>
          <w:lang w:val="en-US" w:eastAsia="en-US" w:bidi="en-US"/>
        </w:rPr>
        <w:t>Life and Speeches,</w:t>
      </w:r>
      <w:r>
        <w:rPr>
          <w:color w:val="000000"/>
          <w:spacing w:val="0"/>
          <w:w w:val="100"/>
          <w:position w:val="0"/>
          <w:shd w:val="clear" w:color="auto" w:fill="auto"/>
          <w:lang w:val="en-US" w:eastAsia="en-US" w:bidi="en-US"/>
        </w:rPr>
        <w:t xml:space="preserve"> p. 320) and </w:t>
      </w:r>
      <w:r>
        <w:rPr>
          <w:i/>
          <w:iCs/>
          <w:color w:val="000000"/>
          <w:spacing w:val="0"/>
          <w:w w:val="100"/>
          <w:position w:val="0"/>
          <w:shd w:val="clear" w:color="auto" w:fill="auto"/>
          <w:lang w:val="en-US" w:eastAsia="en-US" w:bidi="en-US"/>
        </w:rPr>
        <w:t>Early History of Institu</w:t>
        <w:softHyphen/>
        <w:t>tions</w:t>
      </w:r>
      <w:r>
        <w:rPr>
          <w:color w:val="000000"/>
          <w:spacing w:val="0"/>
          <w:w w:val="100"/>
          <w:position w:val="0"/>
          <w:shd w:val="clear" w:color="auto" w:fill="auto"/>
          <w:lang w:val="en-US" w:eastAsia="en-US" w:bidi="en-US"/>
        </w:rPr>
        <w:t xml:space="preserve"> (1875) ; P. Laband, </w:t>
      </w:r>
      <w:r>
        <w:rPr>
          <w:i/>
          <w:iCs/>
          <w:color w:val="000000"/>
          <w:spacing w:val="0"/>
          <w:w w:val="100"/>
          <w:position w:val="0"/>
          <w:shd w:val="clear" w:color="auto" w:fill="auto"/>
          <w:lang w:val="de-DE" w:eastAsia="de-DE" w:bidi="de-DE"/>
        </w:rPr>
        <w:t xml:space="preserve">Staatsrecht des deutschen </w:t>
      </w:r>
      <w:r>
        <w:rPr>
          <w:i/>
          <w:iCs/>
          <w:color w:val="000000"/>
          <w:spacing w:val="0"/>
          <w:w w:val="100"/>
          <w:position w:val="0"/>
          <w:shd w:val="clear" w:color="auto" w:fill="auto"/>
          <w:lang w:val="en-US" w:eastAsia="en-US" w:bidi="en-US"/>
        </w:rPr>
        <w:t>Reiches</w:t>
      </w:r>
      <w:r>
        <w:rPr>
          <w:color w:val="000000"/>
          <w:spacing w:val="0"/>
          <w:w w:val="100"/>
          <w:position w:val="0"/>
          <w:shd w:val="clear" w:color="auto" w:fill="auto"/>
          <w:lang w:val="en-US" w:eastAsia="en-US" w:bidi="en-US"/>
        </w:rPr>
        <w:t xml:space="preserve"> (Freiburg- im-Breisgau and Tübingen, 1876); R. von Mohl, </w:t>
      </w:r>
      <w:r>
        <w:rPr>
          <w:i/>
          <w:iCs/>
          <w:color w:val="000000"/>
          <w:spacing w:val="0"/>
          <w:w w:val="100"/>
          <w:position w:val="0"/>
          <w:shd w:val="clear" w:color="auto" w:fill="auto"/>
          <w:lang w:val="de-DE" w:eastAsia="de-DE" w:bidi="de-DE"/>
        </w:rPr>
        <w:t>Encyclopädie der Staatswissenschaften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(2nd ed., </w:t>
      </w:r>
      <w:r>
        <w:rPr>
          <w:color w:val="000000"/>
          <w:spacing w:val="0"/>
          <w:w w:val="100"/>
          <w:position w:val="0"/>
          <w:shd w:val="clear" w:color="auto" w:fill="auto"/>
          <w:lang w:val="de-DE" w:eastAsia="de-DE" w:bidi="de-DE"/>
        </w:rPr>
        <w:t xml:space="preserve">Tübingen, 1872); O. Gierke, </w:t>
      </w:r>
      <w:r>
        <w:rPr>
          <w:i/>
          <w:iCs/>
          <w:color w:val="000000"/>
          <w:spacing w:val="0"/>
          <w:w w:val="100"/>
          <w:position w:val="0"/>
          <w:shd w:val="clear" w:color="auto" w:fill="auto"/>
          <w:lang w:val="de-DE" w:eastAsia="de-DE" w:bidi="de-DE"/>
        </w:rPr>
        <w:t>Johannes Althusius</w:t>
      </w:r>
      <w:r>
        <w:rPr>
          <w:color w:val="000000"/>
          <w:spacing w:val="0"/>
          <w:w w:val="100"/>
          <w:position w:val="0"/>
          <w:shd w:val="clear" w:color="auto" w:fill="auto"/>
          <w:lang w:val="de-DE" w:eastAsia="de-DE" w:bidi="de-DE"/>
        </w:rPr>
        <w:t xml:space="preserve"> (Breslau, </w:t>
      </w:r>
      <w:r>
        <w:rPr>
          <w:color w:val="000000"/>
          <w:spacing w:val="0"/>
          <w:w w:val="100"/>
          <w:position w:val="0"/>
          <w:shd w:val="clear" w:color="auto" w:fill="auto"/>
          <w:lang w:val="en-US" w:eastAsia="en-US" w:bidi="en-US"/>
        </w:rPr>
        <w:t xml:space="preserve">1880) </w:t>
      </w:r>
      <w:r>
        <w:rPr>
          <w:color w:val="000000"/>
          <w:spacing w:val="0"/>
          <w:w w:val="100"/>
          <w:position w:val="0"/>
          <w:shd w:val="clear" w:color="auto" w:fill="auto"/>
          <w:lang w:val="de-DE" w:eastAsia="de-DE" w:bidi="de-DE"/>
        </w:rPr>
        <w:t xml:space="preserve">; G. Jellinek, </w:t>
      </w:r>
      <w:r>
        <w:rPr>
          <w:i/>
          <w:iCs/>
          <w:color w:val="000000"/>
          <w:spacing w:val="0"/>
          <w:w w:val="100"/>
          <w:position w:val="0"/>
          <w:shd w:val="clear" w:color="auto" w:fill="auto"/>
          <w:lang w:val="de-DE" w:eastAsia="de-DE" w:bidi="de-DE"/>
        </w:rPr>
        <w:t>Die Lehre von den Staatsver</w:t>
        <w:softHyphen/>
        <w:t>bindungen</w:t>
      </w:r>
      <w:r>
        <w:rPr>
          <w:color w:val="000000"/>
          <w:spacing w:val="0"/>
          <w:w w:val="100"/>
          <w:position w:val="0"/>
          <w:shd w:val="clear" w:color="auto" w:fill="auto"/>
          <w:lang w:val="de-DE" w:eastAsia="de-DE" w:bidi="de-DE"/>
        </w:rPr>
        <w:t xml:space="preserve"> (Vienna, 1882); G. Meyer, </w:t>
      </w:r>
      <w:r>
        <w:rPr>
          <w:i/>
          <w:iCs/>
          <w:color w:val="000000"/>
          <w:spacing w:val="0"/>
          <w:w w:val="100"/>
          <w:position w:val="0"/>
          <w:shd w:val="clear" w:color="auto" w:fill="auto"/>
          <w:lang w:val="de-DE" w:eastAsia="de-DE" w:bidi="de-DE"/>
        </w:rPr>
        <w:t>Lehrbuch des deutschen Staats</w:t>
        <w:softHyphen/>
        <w:t>rechts (Leipzig,</w:t>
      </w:r>
      <w:r>
        <w:rPr>
          <w:color w:val="000000"/>
          <w:spacing w:val="0"/>
          <w:w w:val="100"/>
          <w:position w:val="0"/>
          <w:shd w:val="clear" w:color="auto" w:fill="auto"/>
          <w:lang w:val="de-DE" w:eastAsia="de-DE" w:bidi="de-DE"/>
        </w:rPr>
        <w:t xml:space="preserve"> 1878); II. Rosin, </w:t>
      </w:r>
      <w:r>
        <w:rPr>
          <w:i/>
          <w:iCs/>
          <w:color w:val="000000"/>
          <w:spacing w:val="0"/>
          <w:w w:val="100"/>
          <w:position w:val="0"/>
          <w:shd w:val="clear" w:color="auto" w:fill="auto"/>
          <w:lang w:val="de-DE" w:eastAsia="de-DE" w:bidi="de-DE"/>
        </w:rPr>
        <w:t>Souveranitätstaat</w:t>
      </w:r>
      <w:r>
        <w:rPr>
          <w:color w:val="000000"/>
          <w:spacing w:val="0"/>
          <w:w w:val="100"/>
          <w:position w:val="0"/>
          <w:shd w:val="clear" w:color="auto" w:fill="auto"/>
          <w:lang w:val="de-DE" w:eastAsia="de-DE" w:bidi="de-DE"/>
        </w:rPr>
        <w:t xml:space="preserve"> (1883); K. Gareis, </w:t>
      </w:r>
      <w:r>
        <w:rPr>
          <w:i/>
          <w:iCs/>
          <w:color w:val="000000"/>
          <w:spacing w:val="0"/>
          <w:w w:val="100"/>
          <w:position w:val="0"/>
          <w:shd w:val="clear" w:color="auto" w:fill="auto"/>
          <w:lang w:val="de-DE" w:eastAsia="de-DE" w:bidi="de-DE"/>
        </w:rPr>
        <w:t>Allgemeines Staatsrecht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1882); </w:t>
      </w:r>
      <w:r>
        <w:rPr>
          <w:color w:val="000000"/>
          <w:spacing w:val="0"/>
          <w:w w:val="100"/>
          <w:position w:val="0"/>
          <w:shd w:val="clear" w:color="auto" w:fill="auto"/>
          <w:lang w:val="de-DE" w:eastAsia="de-DE" w:bidi="de-DE"/>
        </w:rPr>
        <w:t xml:space="preserve">T. Μ. </w:t>
      </w:r>
      <w:r>
        <w:rPr>
          <w:color w:val="000000"/>
          <w:spacing w:val="0"/>
          <w:w w:val="100"/>
          <w:position w:val="0"/>
          <w:shd w:val="clear" w:color="auto" w:fill="auto"/>
          <w:lang w:val="en-US" w:eastAsia="en-US" w:bidi="en-US"/>
        </w:rPr>
        <w:t xml:space="preserve">Cooley, </w:t>
      </w:r>
      <w:r>
        <w:rPr>
          <w:i/>
          <w:iCs/>
          <w:color w:val="000000"/>
          <w:spacing w:val="0"/>
          <w:w w:val="100"/>
          <w:position w:val="0"/>
          <w:shd w:val="clear" w:color="auto" w:fill="auto"/>
          <w:lang w:val="en-US" w:eastAsia="en-US" w:bidi="en-US"/>
        </w:rPr>
        <w:t>Constitutional Limita</w:t>
        <w:softHyphen/>
        <w:t>tions</w:t>
      </w:r>
      <w:r>
        <w:rPr>
          <w:color w:val="000000"/>
          <w:spacing w:val="0"/>
          <w:w w:val="100"/>
          <w:position w:val="0"/>
          <w:shd w:val="clear" w:color="auto" w:fill="auto"/>
          <w:lang w:val="en-US" w:eastAsia="en-US" w:bidi="en-US"/>
        </w:rPr>
        <w:t xml:space="preserve"> (6th ed., </w:t>
      </w:r>
      <w:r>
        <w:rPr>
          <w:color w:val="000000"/>
          <w:spacing w:val="0"/>
          <w:w w:val="100"/>
          <w:position w:val="0"/>
          <w:shd w:val="clear" w:color="auto" w:fill="auto"/>
          <w:lang w:val="de-DE" w:eastAsia="de-DE" w:bidi="de-DE"/>
        </w:rPr>
        <w:t xml:space="preserve">1890); Jellinek, </w:t>
      </w:r>
      <w:r>
        <w:rPr>
          <w:i/>
          <w:iCs/>
          <w:color w:val="000000"/>
          <w:spacing w:val="0"/>
          <w:w w:val="100"/>
          <w:position w:val="0"/>
          <w:shd w:val="clear" w:color="auto" w:fill="auto"/>
          <w:lang w:val="de-DE" w:eastAsia="de-DE" w:bidi="de-DE"/>
        </w:rPr>
        <w:t>Ueber Staatsfragmente</w:t>
      </w:r>
      <w:r>
        <w:rPr>
          <w:color w:val="000000"/>
          <w:spacing w:val="0"/>
          <w:w w:val="100"/>
          <w:position w:val="0"/>
          <w:shd w:val="clear" w:color="auto" w:fill="auto"/>
          <w:lang w:val="de-DE" w:eastAsia="de-DE" w:bidi="de-DE"/>
        </w:rPr>
        <w:t xml:space="preserve"> (1896);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de-DE" w:eastAsia="de-DE" w:bidi="de-DE"/>
        </w:rPr>
        <w:t xml:space="preserve">B. Westerkamp, </w:t>
      </w:r>
      <w:r>
        <w:rPr>
          <w:i/>
          <w:iCs/>
          <w:color w:val="000000"/>
          <w:spacing w:val="0"/>
          <w:w w:val="100"/>
          <w:position w:val="0"/>
          <w:shd w:val="clear" w:color="auto" w:fill="auto"/>
          <w:lang w:val="de-DE" w:eastAsia="de-DE" w:bidi="de-DE"/>
        </w:rPr>
        <w:t>Staatenbund und Bundesstaat</w:t>
      </w:r>
      <w:r>
        <w:rPr>
          <w:color w:val="000000"/>
          <w:spacing w:val="0"/>
          <w:w w:val="100"/>
          <w:position w:val="0"/>
          <w:shd w:val="clear" w:color="auto" w:fill="auto"/>
          <w:lang w:val="de-DE" w:eastAsia="de-DE" w:bidi="de-DE"/>
        </w:rPr>
        <w:t xml:space="preserve"> (Leipzig, 1892);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de-DE" w:eastAsia="de-DE" w:bidi="de-DE"/>
        </w:rPr>
        <w:t xml:space="preserve">R. </w:t>
      </w:r>
      <w:r>
        <w:rPr>
          <w:color w:val="000000"/>
          <w:spacing w:val="0"/>
          <w:w w:val="100"/>
          <w:position w:val="0"/>
          <w:shd w:val="clear" w:color="auto" w:fill="auto"/>
          <w:lang w:val="en-US" w:eastAsia="en-US" w:bidi="en-US"/>
        </w:rPr>
        <w:t xml:space="preserve">Green’s </w:t>
      </w:r>
      <w:r>
        <w:rPr>
          <w:i/>
          <w:iCs/>
          <w:color w:val="000000"/>
          <w:spacing w:val="0"/>
          <w:w w:val="100"/>
          <w:position w:val="0"/>
          <w:shd w:val="clear" w:color="auto" w:fill="auto"/>
          <w:lang w:val="en-US" w:eastAsia="en-US" w:bidi="en-US"/>
        </w:rPr>
        <w:t>Works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(London, 1892); W. W. Fowler, </w:t>
      </w:r>
      <w:r>
        <w:rPr>
          <w:i/>
          <w:iCs/>
          <w:color w:val="000000"/>
          <w:spacing w:val="0"/>
          <w:w w:val="100"/>
          <w:position w:val="0"/>
          <w:shd w:val="clear" w:color="auto" w:fill="auto"/>
          <w:lang w:val="de-DE" w:eastAsia="de-DE" w:bidi="de-DE"/>
        </w:rPr>
        <w:t xml:space="preserve">City State </w:t>
      </w:r>
      <w:r>
        <w:rPr>
          <w:i/>
          <w:iCs/>
          <w:color w:val="000000"/>
          <w:spacing w:val="0"/>
          <w:w w:val="100"/>
          <w:position w:val="0"/>
          <w:shd w:val="clear" w:color="auto" w:fill="auto"/>
          <w:lang w:val="en-US" w:eastAsia="en-US" w:bidi="en-US"/>
        </w:rPr>
        <w:t>of the Greeks and Romans</w:t>
      </w:r>
      <w:r>
        <w:rPr>
          <w:color w:val="000000"/>
          <w:spacing w:val="0"/>
          <w:w w:val="100"/>
          <w:position w:val="0"/>
          <w:shd w:val="clear" w:color="auto" w:fill="auto"/>
          <w:lang w:val="en-US" w:eastAsia="en-US" w:bidi="en-US"/>
        </w:rPr>
        <w:t xml:space="preserve"> (London, 1893); Salomon, </w:t>
      </w:r>
      <w:r>
        <w:rPr>
          <w:i/>
          <w:iCs/>
          <w:color w:val="000000"/>
          <w:spacing w:val="0"/>
          <w:w w:val="100"/>
          <w:position w:val="0"/>
          <w:shd w:val="clear" w:color="auto" w:fill="auto"/>
          <w:lang w:val="en-US" w:eastAsia="en-US" w:bidi="en-US"/>
        </w:rPr>
        <w:t xml:space="preserve">L'Occupation des </w:t>
      </w:r>
      <w:r>
        <w:rPr>
          <w:i/>
          <w:iCs/>
          <w:color w:val="000000"/>
          <w:spacing w:val="0"/>
          <w:w w:val="100"/>
          <w:position w:val="0"/>
          <w:shd w:val="clear" w:color="auto" w:fill="auto"/>
          <w:lang w:val="fr-FR" w:eastAsia="fr-FR" w:bidi="fr-FR"/>
        </w:rPr>
        <w:t>territoires sans maîtres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1896) ; A. V. Dicey, </w:t>
      </w:r>
      <w:r>
        <w:rPr>
          <w:i/>
          <w:iCs/>
          <w:color w:val="000000"/>
          <w:spacing w:val="0"/>
          <w:w w:val="100"/>
          <w:position w:val="0"/>
          <w:shd w:val="clear" w:color="auto" w:fill="auto"/>
          <w:lang w:val="en-US" w:eastAsia="en-US" w:bidi="en-US"/>
        </w:rPr>
        <w:t>Law of the Constitution</w:t>
      </w:r>
      <w:r>
        <w:rPr>
          <w:color w:val="000000"/>
          <w:spacing w:val="0"/>
          <w:w w:val="100"/>
          <w:position w:val="0"/>
          <w:shd w:val="clear" w:color="auto" w:fill="auto"/>
          <w:lang w:val="en-US" w:eastAsia="en-US" w:bidi="en-US"/>
        </w:rPr>
        <w:t xml:space="preserve"> (6th ed., 1902); X. Combothecra, </w:t>
      </w:r>
      <w:r>
        <w:rPr>
          <w:i/>
          <w:iCs/>
          <w:color w:val="000000"/>
          <w:spacing w:val="0"/>
          <w:w w:val="100"/>
          <w:position w:val="0"/>
          <w:shd w:val="clear" w:color="auto" w:fill="auto"/>
          <w:lang w:val="en-US" w:eastAsia="en-US" w:bidi="en-US"/>
        </w:rPr>
        <w:t xml:space="preserve">La Conception </w:t>
      </w:r>
      <w:r>
        <w:rPr>
          <w:i/>
          <w:iCs/>
          <w:color w:val="000000"/>
          <w:spacing w:val="0"/>
          <w:w w:val="100"/>
          <w:position w:val="0"/>
          <w:shd w:val="clear" w:color="auto" w:fill="auto"/>
          <w:lang w:val="fr-FR" w:eastAsia="fr-FR" w:bidi="fr-FR"/>
        </w:rPr>
        <w:t>juridique de l'état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(1899); H. Rehm, </w:t>
      </w:r>
      <w:r>
        <w:rPr>
          <w:i/>
          <w:iCs/>
          <w:color w:val="000000"/>
          <w:spacing w:val="0"/>
          <w:w w:val="100"/>
          <w:position w:val="0"/>
          <w:shd w:val="clear" w:color="auto" w:fill="auto"/>
          <w:lang w:val="de-DE" w:eastAsia="de-DE" w:bidi="de-DE"/>
        </w:rPr>
        <w:t>Allgemeine Staatslehre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1899); Franklin IL Giddings, </w:t>
      </w:r>
      <w:r>
        <w:rPr>
          <w:i/>
          <w:iCs/>
          <w:color w:val="000000"/>
          <w:spacing w:val="0"/>
          <w:w w:val="100"/>
          <w:position w:val="0"/>
          <w:shd w:val="clear" w:color="auto" w:fill="auto"/>
          <w:lang w:val="en-US" w:eastAsia="en-US" w:bidi="en-US"/>
        </w:rPr>
        <w:t>Principles of Sociology</w:t>
      </w:r>
      <w:r>
        <w:rPr>
          <w:color w:val="000000"/>
          <w:spacing w:val="0"/>
          <w:w w:val="100"/>
          <w:position w:val="0"/>
          <w:shd w:val="clear" w:color="auto" w:fill="auto"/>
          <w:lang w:val="en-US" w:eastAsia="en-US" w:bidi="en-US"/>
        </w:rPr>
        <w:t xml:space="preserve"> ’(3rd ed., New York, 1899); J.W. Burgees, </w:t>
      </w:r>
      <w:r>
        <w:rPr>
          <w:i/>
          <w:iCs/>
          <w:color w:val="000000"/>
          <w:spacing w:val="0"/>
          <w:w w:val="100"/>
          <w:position w:val="0"/>
          <w:shd w:val="clear" w:color="auto" w:fill="auto"/>
          <w:lang w:val="en-US" w:eastAsia="en-US" w:bidi="en-US"/>
        </w:rPr>
        <w:t>Political Science and Constitutional Law</w:t>
      </w:r>
      <w:r>
        <w:rPr>
          <w:color w:val="000000"/>
          <w:spacing w:val="0"/>
          <w:w w:val="100"/>
          <w:position w:val="0"/>
          <w:shd w:val="clear" w:color="auto" w:fill="auto"/>
          <w:lang w:val="en-US" w:eastAsia="en-US" w:bidi="en-US"/>
        </w:rPr>
        <w:t xml:space="preserve"> (Boston, 1899) ; C. E. Merriam, </w:t>
      </w:r>
      <w:r>
        <w:rPr>
          <w:i/>
          <w:iCs/>
          <w:color w:val="000000"/>
          <w:spacing w:val="0"/>
          <w:w w:val="100"/>
          <w:position w:val="0"/>
          <w:shd w:val="clear" w:color="auto" w:fill="auto"/>
          <w:lang w:val="en-US" w:eastAsia="en-US" w:bidi="en-US"/>
        </w:rPr>
        <w:t>History of the Theory of Sovereignty since Rousseau</w:t>
      </w:r>
      <w:r>
        <w:rPr>
          <w:color w:val="000000"/>
          <w:spacing w:val="0"/>
          <w:w w:val="100"/>
          <w:position w:val="0"/>
          <w:shd w:val="clear" w:color="auto" w:fill="auto"/>
          <w:lang w:val="en-US" w:eastAsia="en-US" w:bidi="en-US"/>
        </w:rPr>
        <w:t xml:space="preserve"> (New York, 1900); J. Bryce, </w:t>
      </w:r>
      <w:r>
        <w:rPr>
          <w:i/>
          <w:iCs/>
          <w:color w:val="000000"/>
          <w:spacing w:val="0"/>
          <w:w w:val="100"/>
          <w:position w:val="0"/>
          <w:shd w:val="clear" w:color="auto" w:fill="auto"/>
          <w:lang w:val="en-US" w:eastAsia="en-US" w:bidi="en-US"/>
        </w:rPr>
        <w:t>Studies in History and Jurisprudence (2.</w:t>
      </w:r>
      <w:r>
        <w:rPr>
          <w:color w:val="000000"/>
          <w:spacing w:val="0"/>
          <w:w w:val="100"/>
          <w:position w:val="0"/>
          <w:shd w:val="clear" w:color="auto" w:fill="auto"/>
          <w:lang w:val="en-US" w:eastAsia="en-US" w:bidi="en-US"/>
        </w:rPr>
        <w:t xml:space="preserve"> Essay x. 1901); K. Bornhak, </w:t>
      </w:r>
      <w:r>
        <w:rPr>
          <w:i/>
          <w:iCs/>
          <w:color w:val="000000"/>
          <w:spacing w:val="0"/>
          <w:w w:val="100"/>
          <w:position w:val="0"/>
          <w:shd w:val="clear" w:color="auto" w:fill="auto"/>
          <w:lang w:val="de-DE" w:eastAsia="de-DE" w:bidi="de-DE"/>
        </w:rPr>
        <w:t>Einseitige Abhängigkeitsverhaltnisse unter den modernen. Staaten</w:t>
      </w:r>
      <w:r>
        <w:rPr>
          <w:color w:val="000000"/>
          <w:spacing w:val="0"/>
          <w:w w:val="100"/>
          <w:position w:val="0"/>
          <w:shd w:val="clear" w:color="auto" w:fill="auto"/>
          <w:lang w:val="de-DE" w:eastAsia="de-DE" w:bidi="de-DE"/>
        </w:rPr>
        <w:t xml:space="preserve"> (1896);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de-DE" w:eastAsia="de-DE" w:bidi="de-DE"/>
        </w:rPr>
        <w:t xml:space="preserve">W. </w:t>
      </w:r>
      <w:r>
        <w:rPr>
          <w:color w:val="000000"/>
          <w:spacing w:val="0"/>
          <w:w w:val="100"/>
          <w:position w:val="0"/>
          <w:shd w:val="clear" w:color="auto" w:fill="auto"/>
          <w:lang w:val="en-US" w:eastAsia="en-US" w:bidi="en-US"/>
        </w:rPr>
        <w:t xml:space="preserve">Willoughby,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 xml:space="preserve">Nature </w:t>
      </w:r>
      <w:r>
        <w:rPr>
          <w:i/>
          <w:iCs/>
          <w:color w:val="000000"/>
          <w:spacing w:val="0"/>
          <w:w w:val="100"/>
          <w:position w:val="0"/>
          <w:shd w:val="clear" w:color="auto" w:fill="auto"/>
          <w:lang w:val="en-US" w:eastAsia="en-US" w:bidi="en-US"/>
        </w:rPr>
        <w:t xml:space="preserve">of the </w:t>
      </w:r>
      <w:r>
        <w:rPr>
          <w:i/>
          <w:iCs/>
          <w:color w:val="000000"/>
          <w:spacing w:val="0"/>
          <w:w w:val="100"/>
          <w:position w:val="0"/>
          <w:shd w:val="clear" w:color="auto" w:fill="auto"/>
          <w:lang w:val="de-DE" w:eastAsia="de-DE" w:bidi="de-DE"/>
        </w:rPr>
        <w:t>State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de-DE" w:eastAsia="de-DE" w:bidi="de-DE"/>
        </w:rPr>
        <w:t xml:space="preserve">York, 1896); Clauss, </w:t>
      </w:r>
      <w:r>
        <w:rPr>
          <w:i/>
          <w:iCs/>
          <w:color w:val="000000"/>
          <w:spacing w:val="0"/>
          <w:w w:val="100"/>
          <w:position w:val="0"/>
          <w:shd w:val="clear" w:color="auto" w:fill="auto"/>
          <w:lang w:val="de-DE" w:eastAsia="de-DE" w:bidi="de-DE"/>
        </w:rPr>
        <w:t>Die Lehre von den Staatsdienstbar keilen</w:t>
      </w:r>
      <w:r>
        <w:rPr>
          <w:color w:val="000000"/>
          <w:spacing w:val="0"/>
          <w:w w:val="100"/>
          <w:position w:val="0"/>
          <w:shd w:val="clear" w:color="auto" w:fill="auto"/>
          <w:lang w:val="de-DE" w:eastAsia="de-DE" w:bidi="de-DE"/>
        </w:rPr>
        <w:t xml:space="preserve"> (1894); Bosanquet, </w:t>
      </w:r>
      <w:r>
        <w:rPr>
          <w:i/>
          <w:iCs/>
          <w:color w:val="000000"/>
          <w:spacing w:val="0"/>
          <w:w w:val="100"/>
          <w:position w:val="0"/>
          <w:shd w:val="clear" w:color="auto" w:fill="auto"/>
          <w:lang w:val="en-US" w:eastAsia="en-US" w:bidi="en-US"/>
        </w:rPr>
        <w:t>The Philosophical Theory of the State</w:t>
      </w:r>
      <w:r>
        <w:rPr>
          <w:color w:val="000000"/>
          <w:spacing w:val="0"/>
          <w:w w:val="100"/>
          <w:position w:val="0"/>
          <w:shd w:val="clear" w:color="auto" w:fill="auto"/>
          <w:lang w:val="en-US" w:eastAsia="en-US" w:bidi="en-US"/>
        </w:rPr>
        <w:t xml:space="preserve"> (1890); J. B. Moore, </w:t>
      </w:r>
      <w:r>
        <w:rPr>
          <w:i/>
          <w:iCs/>
          <w:color w:val="000000"/>
          <w:spacing w:val="0"/>
          <w:w w:val="100"/>
          <w:position w:val="0"/>
          <w:shd w:val="clear" w:color="auto" w:fill="auto"/>
          <w:lang w:val="en-US" w:eastAsia="en-US" w:bidi="en-US"/>
        </w:rPr>
        <w:t>Digest of International Law</w:t>
      </w:r>
      <w:r>
        <w:rPr>
          <w:color w:val="000000"/>
          <w:spacing w:val="0"/>
          <w:w w:val="100"/>
          <w:position w:val="0"/>
          <w:shd w:val="clear" w:color="auto" w:fill="auto"/>
          <w:lang w:val="en-US" w:eastAsia="en-US" w:bidi="en-US"/>
        </w:rPr>
        <w:t xml:space="preserve"> (Washington, 1906), i. 18 seq.; “ Notes on Sovereignty,” </w:t>
      </w:r>
      <w:r>
        <w:rPr>
          <w:i/>
          <w:iCs/>
          <w:color w:val="000000"/>
          <w:spacing w:val="0"/>
          <w:w w:val="100"/>
          <w:position w:val="0"/>
          <w:shd w:val="clear" w:color="auto" w:fill="auto"/>
          <w:lang w:val="en-US" w:eastAsia="en-US" w:bidi="en-US"/>
        </w:rPr>
        <w:t>American Journal of International Law</w:t>
      </w:r>
      <w:r>
        <w:rPr>
          <w:color w:val="000000"/>
          <w:spacing w:val="0"/>
          <w:w w:val="100"/>
          <w:position w:val="0"/>
          <w:shd w:val="clear" w:color="auto" w:fill="auto"/>
          <w:lang w:val="en-US" w:eastAsia="en-US" w:bidi="en-US"/>
        </w:rPr>
        <w:t xml:space="preserve"> 1907), i. 105;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B. Keith, </w:t>
      </w:r>
      <w:r>
        <w:rPr>
          <w:i/>
          <w:iCs/>
          <w:color w:val="000000"/>
          <w:spacing w:val="0"/>
          <w:w w:val="100"/>
          <w:position w:val="0"/>
          <w:shd w:val="clear" w:color="auto" w:fill="auto"/>
          <w:lang w:val="en-US" w:eastAsia="en-US" w:bidi="en-US"/>
        </w:rPr>
        <w:t>Responsible Government in the Colonies</w:t>
      </w:r>
      <w:r>
        <w:rPr>
          <w:color w:val="000000"/>
          <w:spacing w:val="0"/>
          <w:w w:val="100"/>
          <w:position w:val="0"/>
          <w:shd w:val="clear" w:color="auto" w:fill="auto"/>
          <w:lang w:val="en-US" w:eastAsia="en-US" w:bidi="en-US"/>
        </w:rPr>
        <w:t xml:space="preserve"> (1909) ; T. Baty, </w:t>
      </w:r>
      <w:r>
        <w:rPr>
          <w:i/>
          <w:iCs/>
          <w:color w:val="000000"/>
          <w:spacing w:val="0"/>
          <w:w w:val="100"/>
          <w:position w:val="0"/>
          <w:shd w:val="clear" w:color="auto" w:fill="auto"/>
          <w:lang w:val="en-US" w:eastAsia="en-US" w:bidi="en-US"/>
        </w:rPr>
        <w:t>International Law</w:t>
      </w:r>
      <w:r>
        <w:rPr>
          <w:color w:val="000000"/>
          <w:spacing w:val="0"/>
          <w:w w:val="100"/>
          <w:position w:val="0"/>
          <w:shd w:val="clear" w:color="auto" w:fill="auto"/>
          <w:lang w:val="en-US" w:eastAsia="en-US" w:bidi="en-US"/>
        </w:rPr>
        <w:t xml:space="preserve"> (1909).</w:t>
        <w:tab/>
        <w:t>(J. Μ.)</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SOWAR </w:t>
      </w:r>
      <w:r>
        <w:rPr>
          <w:color w:val="000000"/>
          <w:spacing w:val="0"/>
          <w:w w:val="100"/>
          <w:position w:val="0"/>
          <w:sz w:val="18"/>
          <w:szCs w:val="18"/>
          <w:shd w:val="clear" w:color="auto" w:fill="auto"/>
          <w:lang w:val="en-US" w:eastAsia="en-US" w:bidi="en-US"/>
        </w:rPr>
        <w:t xml:space="preserve">(Hind. and Pers. </w:t>
      </w:r>
      <w:r>
        <w:rPr>
          <w:i/>
          <w:iCs/>
          <w:color w:val="000000"/>
          <w:spacing w:val="0"/>
          <w:w w:val="100"/>
          <w:position w:val="0"/>
          <w:sz w:val="18"/>
          <w:szCs w:val="18"/>
          <w:shd w:val="clear" w:color="auto" w:fill="auto"/>
          <w:lang w:val="en-US" w:eastAsia="en-US" w:bidi="en-US"/>
        </w:rPr>
        <w:t>suwar,</w:t>
      </w:r>
      <w:r>
        <w:rPr>
          <w:color w:val="000000"/>
          <w:spacing w:val="0"/>
          <w:w w:val="100"/>
          <w:position w:val="0"/>
          <w:sz w:val="18"/>
          <w:szCs w:val="18"/>
          <w:shd w:val="clear" w:color="auto" w:fill="auto"/>
          <w:lang w:val="en-US" w:eastAsia="en-US" w:bidi="en-US"/>
        </w:rPr>
        <w:t xml:space="preserve"> a horseman), the name in Anglo-Indian usage for a horse-soldier belonging to the cavalry troops of the native armies of British India and the feudatory states. It is also used more specifically of a mounted orderly, escort or guard.</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SOWERBY, JAMES </w:t>
      </w:r>
      <w:r>
        <w:rPr>
          <w:color w:val="000000"/>
          <w:spacing w:val="0"/>
          <w:w w:val="100"/>
          <w:position w:val="0"/>
          <w:sz w:val="18"/>
          <w:szCs w:val="18"/>
          <w:shd w:val="clear" w:color="auto" w:fill="auto"/>
          <w:lang w:val="en-US" w:eastAsia="en-US" w:bidi="en-US"/>
        </w:rPr>
        <w:t xml:space="preserve">(1757-1822), English natural-history artist, was born in London on the 21st of March 1757. He became a student at the Royal Academy, and subsequently taught drawing, but soon applied his art to the illustration of botanical and conchological works, and became distinguished by the publication of his </w:t>
      </w:r>
      <w:r>
        <w:rPr>
          <w:i/>
          <w:iCs/>
          <w:color w:val="000000"/>
          <w:spacing w:val="0"/>
          <w:w w:val="100"/>
          <w:position w:val="0"/>
          <w:sz w:val="18"/>
          <w:szCs w:val="18"/>
          <w:shd w:val="clear" w:color="auto" w:fill="auto"/>
          <w:lang w:val="en-US" w:eastAsia="en-US" w:bidi="en-US"/>
        </w:rPr>
        <w:t>English Botany</w:t>
      </w:r>
      <w:r>
        <w:rPr>
          <w:color w:val="000000"/>
          <w:spacing w:val="0"/>
          <w:w w:val="100"/>
          <w:position w:val="0"/>
          <w:sz w:val="18"/>
          <w:szCs w:val="18"/>
          <w:shd w:val="clear" w:color="auto" w:fill="auto"/>
          <w:lang w:val="en-US" w:eastAsia="en-US" w:bidi="en-US"/>
        </w:rPr>
        <w:t xml:space="preserve"> (36 vols., 1790-1814), and </w:t>
      </w:r>
      <w:r>
        <w:rPr>
          <w:i/>
          <w:iCs/>
          <w:color w:val="000000"/>
          <w:spacing w:val="0"/>
          <w:w w:val="100"/>
          <w:position w:val="0"/>
          <w:sz w:val="18"/>
          <w:szCs w:val="18"/>
          <w:shd w:val="clear" w:color="auto" w:fill="auto"/>
          <w:lang w:val="en-US" w:eastAsia="en-US" w:bidi="en-US"/>
        </w:rPr>
        <w:t>British Mineralogy</w:t>
      </w:r>
      <w:r>
        <w:rPr>
          <w:color w:val="000000"/>
          <w:spacing w:val="0"/>
          <w:w w:val="100"/>
          <w:position w:val="0"/>
          <w:sz w:val="18"/>
          <w:szCs w:val="18"/>
          <w:shd w:val="clear" w:color="auto" w:fill="auto"/>
          <w:lang w:val="en-US" w:eastAsia="en-US" w:bidi="en-US"/>
        </w:rPr>
        <w:t xml:space="preserve"> (5 voIs., 1804-1817). He likewise planned and carried out for a number of years the classic geological work intended to describe and illustrate the British fossils, and en- titled </w:t>
      </w:r>
      <w:r>
        <w:rPr>
          <w:i/>
          <w:iCs/>
          <w:color w:val="000000"/>
          <w:spacing w:val="0"/>
          <w:w w:val="100"/>
          <w:position w:val="0"/>
          <w:sz w:val="18"/>
          <w:szCs w:val="18"/>
          <w:shd w:val="clear" w:color="auto" w:fill="auto"/>
          <w:lang w:val="en-US" w:eastAsia="en-US" w:bidi="en-US"/>
        </w:rPr>
        <w:t>The Mineral Conchology of Great Britain</w:t>
      </w:r>
      <w:r>
        <w:rPr>
          <w:color w:val="000000"/>
          <w:spacing w:val="0"/>
          <w:w w:val="100"/>
          <w:position w:val="0"/>
          <w:sz w:val="18"/>
          <w:szCs w:val="18"/>
          <w:shd w:val="clear" w:color="auto" w:fill="auto"/>
          <w:lang w:val="en-US" w:eastAsia="en-US" w:bidi="en-US"/>
        </w:rPr>
        <w:t xml:space="preserve"> (7 vols., 1812- 1846). This was issued in parts, with the assistance first of his elder son, J. de C. Sowerby, and, after J. Sowerby’s death (Oct. 25, 1822), of his second son, </w:t>
      </w:r>
      <w:r>
        <w:rPr>
          <w:color w:val="000000"/>
          <w:spacing w:val="0"/>
          <w:w w:val="100"/>
          <w:position w:val="0"/>
          <w:sz w:val="18"/>
          <w:szCs w:val="18"/>
          <w:shd w:val="clear" w:color="auto" w:fill="auto"/>
          <w:lang w:val="fr-FR" w:eastAsia="fr-FR" w:bidi="fr-FR"/>
        </w:rPr>
        <w:t xml:space="preserve">G. </w:t>
      </w:r>
      <w:r>
        <w:rPr>
          <w:color w:val="000000"/>
          <w:spacing w:val="0"/>
          <w:w w:val="100"/>
          <w:position w:val="0"/>
          <w:sz w:val="18"/>
          <w:szCs w:val="18"/>
          <w:shd w:val="clear" w:color="auto" w:fill="auto"/>
          <w:lang w:val="en-US" w:eastAsia="en-US" w:bidi="en-US"/>
        </w:rPr>
        <w:t>B. Sowerby, both the sons being themselves expert palaeontologists. The Sowerby collection, consisting of about 5000 fossils, was purchased by the British Museum in 1860.</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eIder son, </w:t>
      </w:r>
      <w:r>
        <w:rPr>
          <w:smallCaps/>
          <w:color w:val="000000"/>
          <w:spacing w:val="0"/>
          <w:w w:val="100"/>
          <w:position w:val="0"/>
          <w:sz w:val="18"/>
          <w:szCs w:val="18"/>
          <w:shd w:val="clear" w:color="auto" w:fill="auto"/>
          <w:lang w:val="en-US" w:eastAsia="en-US" w:bidi="en-US"/>
        </w:rPr>
        <w:t>James de Carle Sowerby</w:t>
      </w:r>
      <w:r>
        <w:rPr>
          <w:color w:val="000000"/>
          <w:spacing w:val="0"/>
          <w:w w:val="100"/>
          <w:position w:val="0"/>
          <w:sz w:val="18"/>
          <w:szCs w:val="18"/>
          <w:shd w:val="clear" w:color="auto" w:fill="auto"/>
          <w:lang w:val="en-US" w:eastAsia="en-US" w:bidi="en-US"/>
        </w:rPr>
        <w:t xml:space="preserve"> (1787-1871), was in 1838 one of the founders of the Royal Botanic Society, and was its secretary for thirty years. He supplied the plates and part of the text to the </w:t>
      </w:r>
      <w:r>
        <w:rPr>
          <w:i/>
          <w:iCs/>
          <w:color w:val="000000"/>
          <w:spacing w:val="0"/>
          <w:w w:val="100"/>
          <w:position w:val="0"/>
          <w:sz w:val="18"/>
          <w:szCs w:val="18"/>
          <w:shd w:val="clear" w:color="auto" w:fill="auto"/>
          <w:lang w:val="en-US" w:eastAsia="en-US" w:bidi="en-US"/>
        </w:rPr>
        <w:t>Supplement to English Botany</w:t>
      </w:r>
      <w:r>
        <w:rPr>
          <w:color w:val="000000"/>
          <w:spacing w:val="0"/>
          <w:w w:val="100"/>
          <w:position w:val="0"/>
          <w:sz w:val="18"/>
          <w:szCs w:val="18"/>
          <w:shd w:val="clear" w:color="auto" w:fill="auto"/>
          <w:lang w:val="en-US" w:eastAsia="en-US" w:bidi="en-US"/>
        </w:rPr>
        <w:t xml:space="preserve"> (4 vols., 1831-1849); but his most important work related to palaeontology, as he identified and in many cases described the invertebrate fossils for papers by Buckland, Sedgwick, Fitton, Murchison and others in the </w:t>
      </w:r>
      <w:r>
        <w:rPr>
          <w:i/>
          <w:iCs/>
          <w:color w:val="000000"/>
          <w:spacing w:val="0"/>
          <w:w w:val="100"/>
          <w:position w:val="0"/>
          <w:sz w:val="18"/>
          <w:szCs w:val="18"/>
          <w:shd w:val="clear" w:color="auto" w:fill="auto"/>
          <w:lang w:val="en-US" w:eastAsia="en-US" w:bidi="en-US"/>
        </w:rPr>
        <w:t>Transactions of the Geological Society of London.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younger son, </w:t>
      </w:r>
      <w:r>
        <w:rPr>
          <w:smallCaps/>
          <w:color w:val="000000"/>
          <w:spacing w:val="0"/>
          <w:w w:val="100"/>
          <w:position w:val="0"/>
          <w:sz w:val="18"/>
          <w:szCs w:val="18"/>
          <w:shd w:val="clear" w:color="auto" w:fill="auto"/>
          <w:lang w:val="en-US" w:eastAsia="en-US" w:bidi="en-US"/>
        </w:rPr>
        <w:t>George</w:t>
      </w:r>
      <w:r>
        <w:rPr>
          <w:color w:val="000000"/>
          <w:spacing w:val="0"/>
          <w:w w:val="100"/>
          <w:position w:val="0"/>
          <w:sz w:val="18"/>
          <w:szCs w:val="18"/>
          <w:shd w:val="clear" w:color="auto" w:fill="auto"/>
          <w:lang w:val="en-US" w:eastAsia="en-US" w:bidi="en-US"/>
        </w:rPr>
        <w:t xml:space="preserve"> B</w:t>
      </w:r>
      <w:r>
        <w:rPr>
          <w:smallCaps/>
          <w:color w:val="000000"/>
          <w:spacing w:val="0"/>
          <w:w w:val="100"/>
          <w:position w:val="0"/>
          <w:sz w:val="18"/>
          <w:szCs w:val="18"/>
          <w:shd w:val="clear" w:color="auto" w:fill="auto"/>
          <w:lang w:val="en-US" w:eastAsia="en-US" w:bidi="en-US"/>
        </w:rPr>
        <w:t>rettingham Sowerby</w:t>
      </w:r>
      <w:r>
        <w:rPr>
          <w:color w:val="000000"/>
          <w:spacing w:val="0"/>
          <w:w w:val="100"/>
          <w:position w:val="0"/>
          <w:sz w:val="18"/>
          <w:szCs w:val="18"/>
          <w:shd w:val="clear" w:color="auto" w:fill="auto"/>
          <w:lang w:val="en-US" w:eastAsia="en-US" w:bidi="en-US"/>
        </w:rPr>
        <w:t xml:space="preserve"> (1788-1854) was author of </w:t>
      </w:r>
      <w:r>
        <w:rPr>
          <w:i/>
          <w:iCs/>
          <w:color w:val="000000"/>
          <w:spacing w:val="0"/>
          <w:w w:val="100"/>
          <w:position w:val="0"/>
          <w:sz w:val="18"/>
          <w:szCs w:val="18"/>
          <w:shd w:val="clear" w:color="auto" w:fill="auto"/>
          <w:lang w:val="en-US" w:eastAsia="en-US" w:bidi="en-US"/>
        </w:rPr>
        <w:t>The Genera of Recent and Fossil Shells</w:t>
      </w:r>
      <w:r>
        <w:rPr>
          <w:color w:val="000000"/>
          <w:spacing w:val="0"/>
          <w:w w:val="100"/>
          <w:position w:val="0"/>
          <w:sz w:val="18"/>
          <w:szCs w:val="18"/>
          <w:shd w:val="clear" w:color="auto" w:fill="auto"/>
          <w:lang w:val="en-US" w:eastAsia="en-US" w:bidi="en-US"/>
        </w:rPr>
        <w:t xml:space="preserve"> (1820-1825), and one of the editors of the </w:t>
      </w:r>
      <w:r>
        <w:rPr>
          <w:i/>
          <w:iCs/>
          <w:color w:val="000000"/>
          <w:spacing w:val="0"/>
          <w:w w:val="100"/>
          <w:position w:val="0"/>
          <w:sz w:val="18"/>
          <w:szCs w:val="18"/>
          <w:shd w:val="clear" w:color="auto" w:fill="auto"/>
          <w:lang w:val="en-US" w:eastAsia="en-US" w:bidi="en-US"/>
        </w:rPr>
        <w:t>Zoological Journal</w:t>
      </w:r>
      <w:r>
        <w:rPr>
          <w:color w:val="000000"/>
          <w:spacing w:val="0"/>
          <w:w w:val="100"/>
          <w:position w:val="0"/>
          <w:sz w:val="18"/>
          <w:szCs w:val="18"/>
          <w:shd w:val="clear" w:color="auto" w:fill="auto"/>
          <w:lang w:val="en-US" w:eastAsia="en-US" w:bidi="en-US"/>
        </w:rPr>
        <w:t xml:space="preserve"> (1825-1 826). His son, </w:t>
      </w:r>
      <w:r>
        <w:rPr>
          <w:color w:val="000000"/>
          <w:spacing w:val="0"/>
          <w:w w:val="100"/>
          <w:position w:val="0"/>
          <w:sz w:val="18"/>
          <w:szCs w:val="18"/>
          <w:shd w:val="clear" w:color="auto" w:fill="auto"/>
          <w:lang w:val="fr-FR" w:eastAsia="fr-FR" w:bidi="fr-FR"/>
        </w:rPr>
        <w:t xml:space="preserve">G. </w:t>
      </w:r>
      <w:r>
        <w:rPr>
          <w:color w:val="000000"/>
          <w:spacing w:val="0"/>
          <w:w w:val="100"/>
          <w:position w:val="0"/>
          <w:sz w:val="18"/>
          <w:szCs w:val="18"/>
          <w:shd w:val="clear" w:color="auto" w:fill="auto"/>
          <w:lang w:val="en-US" w:eastAsia="en-US" w:bidi="en-US"/>
        </w:rPr>
        <w:t xml:space="preserve">B. </w:t>
      </w:r>
      <w:r>
        <w:rPr>
          <w:smallCaps/>
          <w:color w:val="000000"/>
          <w:spacing w:val="0"/>
          <w:w w:val="100"/>
          <w:position w:val="0"/>
          <w:sz w:val="18"/>
          <w:szCs w:val="18"/>
          <w:shd w:val="clear" w:color="auto" w:fill="auto"/>
          <w:lang w:val="en-US" w:eastAsia="en-US" w:bidi="en-US"/>
        </w:rPr>
        <w:t>Sowerby</w:t>
      </w:r>
      <w:r>
        <w:rPr>
          <w:color w:val="000000"/>
          <w:spacing w:val="0"/>
          <w:w w:val="100"/>
          <w:position w:val="0"/>
          <w:sz w:val="18"/>
          <w:szCs w:val="18"/>
          <w:shd w:val="clear" w:color="auto" w:fill="auto"/>
          <w:lang w:val="en-US" w:eastAsia="en-US" w:bidi="en-US"/>
        </w:rPr>
        <w:t xml:space="preserve"> (1812-1884), author of the </w:t>
      </w:r>
      <w:r>
        <w:rPr>
          <w:i/>
          <w:iCs/>
          <w:color w:val="000000"/>
          <w:spacing w:val="0"/>
          <w:w w:val="100"/>
          <w:position w:val="0"/>
          <w:sz w:val="18"/>
          <w:szCs w:val="18"/>
          <w:shd w:val="clear" w:color="auto" w:fill="auto"/>
          <w:lang w:val="en-US" w:eastAsia="en-US" w:bidi="en-US"/>
        </w:rPr>
        <w:t>Conchological Manual</w:t>
      </w:r>
      <w:r>
        <w:rPr>
          <w:color w:val="000000"/>
          <w:spacing w:val="0"/>
          <w:w w:val="100"/>
          <w:position w:val="0"/>
          <w:sz w:val="18"/>
          <w:szCs w:val="18"/>
          <w:shd w:val="clear" w:color="auto" w:fill="auto"/>
          <w:lang w:val="en-US" w:eastAsia="en-US" w:bidi="en-US"/>
        </w:rPr>
        <w:t xml:space="preserve"> (1839; 4th ed., 1852), and grandson </w:t>
      </w:r>
      <w:r>
        <w:rPr>
          <w:color w:val="000000"/>
          <w:spacing w:val="0"/>
          <w:w w:val="100"/>
          <w:position w:val="0"/>
          <w:sz w:val="18"/>
          <w:szCs w:val="18"/>
          <w:shd w:val="clear" w:color="auto" w:fill="auto"/>
          <w:lang w:val="fr-FR" w:eastAsia="fr-FR" w:bidi="fr-FR"/>
        </w:rPr>
        <w:t xml:space="preserve">G. </w:t>
      </w:r>
      <w:r>
        <w:rPr>
          <w:color w:val="000000"/>
          <w:spacing w:val="0"/>
          <w:w w:val="100"/>
          <w:position w:val="0"/>
          <w:sz w:val="18"/>
          <w:szCs w:val="18"/>
          <w:shd w:val="clear" w:color="auto" w:fill="auto"/>
          <w:lang w:val="en-US" w:eastAsia="en-US" w:bidi="en-US"/>
        </w:rPr>
        <w:t xml:space="preserve">B. </w:t>
      </w:r>
      <w:r>
        <w:rPr>
          <w:smallCaps/>
          <w:color w:val="000000"/>
          <w:spacing w:val="0"/>
          <w:w w:val="100"/>
          <w:position w:val="0"/>
          <w:sz w:val="18"/>
          <w:szCs w:val="18"/>
          <w:shd w:val="clear" w:color="auto" w:fill="auto"/>
          <w:lang w:val="en-US" w:eastAsia="en-US" w:bidi="en-US"/>
        </w:rPr>
        <w:t>Sowerby (</w:t>
      </w:r>
      <w:r>
        <w:rPr>
          <w:i/>
          <w:iCs/>
          <w:color w:val="000000"/>
          <w:spacing w:val="0"/>
          <w:w w:val="100"/>
          <w:position w:val="0"/>
          <w:sz w:val="18"/>
          <w:szCs w:val="18"/>
          <w:shd w:val="clear" w:color="auto" w:fill="auto"/>
          <w:lang w:val="en-US" w:eastAsia="en-US" w:bidi="en-US"/>
        </w:rPr>
        <w:t>b.</w:t>
      </w:r>
      <w:r>
        <w:rPr>
          <w:color w:val="000000"/>
          <w:spacing w:val="0"/>
          <w:w w:val="100"/>
          <w:position w:val="0"/>
          <w:sz w:val="18"/>
          <w:szCs w:val="18"/>
          <w:shd w:val="clear" w:color="auto" w:fill="auto"/>
          <w:lang w:val="en-US" w:eastAsia="en-US" w:bidi="en-US"/>
        </w:rPr>
        <w:t xml:space="preserve"> 1843), a distinguished student of the </w:t>
      </w:r>
      <w:r>
        <w:rPr>
          <w:color w:val="000000"/>
          <w:spacing w:val="0"/>
          <w:w w:val="100"/>
          <w:position w:val="0"/>
          <w:sz w:val="18"/>
          <w:szCs w:val="18"/>
          <w:shd w:val="clear" w:color="auto" w:fill="auto"/>
          <w:lang w:val="de-DE" w:eastAsia="de-DE" w:bidi="de-DE"/>
        </w:rPr>
        <w:t xml:space="preserve">Mollusca, </w:t>
      </w:r>
      <w:r>
        <w:rPr>
          <w:color w:val="000000"/>
          <w:spacing w:val="0"/>
          <w:w w:val="100"/>
          <w:position w:val="0"/>
          <w:sz w:val="18"/>
          <w:szCs w:val="18"/>
          <w:shd w:val="clear" w:color="auto" w:fill="auto"/>
          <w:lang w:val="en-US" w:eastAsia="en-US" w:bidi="en-US"/>
        </w:rPr>
        <w:t>inherited the family talent for natural history.</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SOWERBY BRIDGE, </w:t>
      </w:r>
      <w:r>
        <w:rPr>
          <w:color w:val="000000"/>
          <w:spacing w:val="0"/>
          <w:w w:val="100"/>
          <w:position w:val="0"/>
          <w:sz w:val="18"/>
          <w:szCs w:val="18"/>
          <w:shd w:val="clear" w:color="auto" w:fill="auto"/>
          <w:lang w:val="en-US" w:eastAsia="en-US" w:bidi="en-US"/>
        </w:rPr>
        <w:t>an urban district in the Sowerby parliamentary division of the West Riding of Yorkshire, England, 3 m. S.W. of Halifax by the Lancashire &amp; Yorkshire railway. It is situated on both sides of the river Calder, at the termination of the Rochdale canal. Christ Church, dating from 1526, was rebuilt in 1819. The town is almost entirely a growth of the second half of the 19th century. It possesses worsted and cotton milIs, iron works, dye works and chemical works. The separate urban district of Sowerby adjoins to the south-west. Pop. (1901), Sowerby Bridge, 11,477; Sowerby, 3653.</w:t>
      </w:r>
    </w:p>
    <w:p>
      <w:pPr>
        <w:pStyle w:val="Style3"/>
        <w:keepNext w:val="0"/>
        <w:keepLines w:val="0"/>
        <w:widowControl w:val="0"/>
        <w:shd w:val="clear" w:color="auto" w:fill="auto"/>
        <w:tabs>
          <w:tab w:pos="4082" w:val="left"/>
        </w:tabs>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SOWING </w:t>
      </w:r>
      <w:r>
        <w:rPr>
          <w:color w:val="000000"/>
          <w:spacing w:val="0"/>
          <w:w w:val="100"/>
          <w:position w:val="0"/>
          <w:sz w:val="18"/>
          <w:szCs w:val="18"/>
          <w:shd w:val="clear" w:color="auto" w:fill="auto"/>
          <w:lang w:val="en-US" w:eastAsia="en-US" w:bidi="en-US"/>
        </w:rPr>
        <w:t xml:space="preserve">(from “ to sow,” O. Eng. </w:t>
      </w:r>
      <w:r>
        <w:rPr>
          <w:i/>
          <w:iCs/>
          <w:color w:val="000000"/>
          <w:spacing w:val="0"/>
          <w:w w:val="100"/>
          <w:position w:val="0"/>
          <w:sz w:val="18"/>
          <w:szCs w:val="18"/>
          <w:shd w:val="clear" w:color="auto" w:fill="auto"/>
          <w:lang w:val="en-US" w:eastAsia="en-US" w:bidi="en-US"/>
        </w:rPr>
        <w:t>säwan,</w:t>
      </w:r>
      <w:r>
        <w:rPr>
          <w:color w:val="000000"/>
          <w:spacing w:val="0"/>
          <w:w w:val="100"/>
          <w:position w:val="0"/>
          <w:sz w:val="18"/>
          <w:szCs w:val="18"/>
          <w:shd w:val="clear" w:color="auto" w:fill="auto"/>
          <w:lang w:val="en-US" w:eastAsia="en-US" w:bidi="en-US"/>
        </w:rPr>
        <w:t xml:space="preserve"> cf. Du. </w:t>
      </w:r>
      <w:r>
        <w:rPr>
          <w:i/>
          <w:iCs/>
          <w:color w:val="000000"/>
          <w:spacing w:val="0"/>
          <w:w w:val="100"/>
          <w:position w:val="0"/>
          <w:sz w:val="18"/>
          <w:szCs w:val="18"/>
          <w:shd w:val="clear" w:color="auto" w:fill="auto"/>
          <w:lang w:val="en-US" w:eastAsia="en-US" w:bidi="en-US"/>
        </w:rPr>
        <w:t xml:space="preserve">zaaijen, </w:t>
      </w:r>
      <w:r>
        <w:rPr>
          <w:color w:val="000000"/>
          <w:spacing w:val="0"/>
          <w:w w:val="100"/>
          <w:position w:val="0"/>
          <w:sz w:val="18"/>
          <w:szCs w:val="18"/>
          <w:shd w:val="clear" w:color="auto" w:fill="auto"/>
          <w:lang w:val="en-US" w:eastAsia="en-US" w:bidi="en-US"/>
        </w:rPr>
        <w:t xml:space="preserve">Ger. </w:t>
      </w:r>
      <w:r>
        <w:rPr>
          <w:i/>
          <w:iCs/>
          <w:color w:val="000000"/>
          <w:spacing w:val="0"/>
          <w:w w:val="100"/>
          <w:position w:val="0"/>
          <w:sz w:val="18"/>
          <w:szCs w:val="18"/>
          <w:shd w:val="clear" w:color="auto" w:fill="auto"/>
          <w:lang w:val="de-DE" w:eastAsia="de-DE" w:bidi="de-DE"/>
        </w:rPr>
        <w:t>säen,</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&amp;c.; the root is seen in Lat. </w:t>
      </w:r>
      <w:r>
        <w:rPr>
          <w:i/>
          <w:iCs/>
          <w:color w:val="000000"/>
          <w:spacing w:val="0"/>
          <w:w w:val="100"/>
          <w:position w:val="0"/>
          <w:sz w:val="18"/>
          <w:szCs w:val="18"/>
          <w:shd w:val="clear" w:color="auto" w:fill="auto"/>
          <w:lang w:val="en-US" w:eastAsia="en-US" w:bidi="en-US"/>
        </w:rPr>
        <w:t>serere,</w:t>
      </w:r>
      <w:r>
        <w:rPr>
          <w:color w:val="000000"/>
          <w:spacing w:val="0"/>
          <w:w w:val="100"/>
          <w:position w:val="0"/>
          <w:sz w:val="18"/>
          <w:szCs w:val="18"/>
          <w:shd w:val="clear" w:color="auto" w:fill="auto"/>
          <w:lang w:val="en-US" w:eastAsia="en-US" w:bidi="en-US"/>
        </w:rPr>
        <w:t xml:space="preserve"> cf. “seed”), in agriculture, the planting of seed for the raising of crops. The scattering of seed by hand is the simplest and oldest method of delivering seed to the earth, and is stiff preferred by some farmers and in certain circumstances. The sower carries the receptacle for the seed, a zinc “ seed-lip,” seed-sheet or basket, slung over his shoulder, and walking up and down the ridges of the field scatters handfuls of grain with a semicircular sweep of the arm across the body. The “ casts ” must not overlap too much, the seed must not fall more thickly at one point of the cast than at another, and the standard of seeding per acre must be rigidly adhered to; hence manual-sowing demands con</w:t>
        <w:softHyphen/>
        <w:t>siderable skill and experience. It is still preferred in some districts for the sowing of corn crops; and in some cases the plough is followed by a furrow-presser, the seed falling into the hollows made by it, though under ordinary circumstances the face of the field as left in “ seams ” by the furrow-slices from the plough is in a suitable condition for broadcasting. So weli, indeed, is the ploughing done in many countries that broadcasting gives perfectly good results, and broadcasting machines reaching up to 15 ft. wide are in common use in place of hand-sowing, as these get over the ground more quickly and deposit the seed more regularly than an ordinary work</w:t>
        <w:softHyphen/>
        <w:t>man does by hand.</w:t>
      </w:r>
    </w:p>
    <w:sectPr>
      <w:footnotePr>
        <w:pos w:val="pageBottom"/>
        <w:numFmt w:val="decimal"/>
        <w:numRestart w:val="continuous"/>
      </w:footnotePr>
      <w:pgSz w:w="12240" w:h="15840"/>
      <w:pgMar w:top="936" w:left="866" w:right="919"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