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lang w:val="en-US" w:eastAsia="en-US" w:bidi="en-US"/>
        </w:rPr>
        <w:t>ocellata),</w:t>
      </w:r>
      <w:r>
        <w:rPr>
          <w:color w:val="000000"/>
          <w:spacing w:val="0"/>
          <w:w w:val="100"/>
          <w:position w:val="0"/>
          <w:shd w:val="clear" w:color="auto" w:fill="auto"/>
          <w:lang w:val="en-US" w:eastAsia="en-US" w:bidi="en-US"/>
        </w:rPr>
        <w:t xml:space="preserve"> which sometimes attains 3 ft. in length and is very abundant: the </w:t>
      </w:r>
      <w:r>
        <w:rPr>
          <w:i/>
          <w:iCs/>
          <w:color w:val="000000"/>
          <w:spacing w:val="0"/>
          <w:w w:val="100"/>
          <w:position w:val="0"/>
          <w:shd w:val="clear" w:color="auto" w:fill="auto"/>
          <w:lang w:val="en-US" w:eastAsia="en-US" w:bidi="en-US"/>
        </w:rPr>
        <w:t>Platydactylus saccicularis,</w:t>
      </w:r>
      <w:r>
        <w:rPr>
          <w:color w:val="000000"/>
          <w:spacing w:val="0"/>
          <w:w w:val="100"/>
          <w:position w:val="0"/>
          <w:shd w:val="clear" w:color="auto" w:fill="auto"/>
          <w:lang w:val="en-US" w:eastAsia="en-US" w:bidi="en-US"/>
        </w:rPr>
        <w:t xml:space="preserve"> the grey amphisbaena (</w:t>
      </w:r>
      <w:r>
        <w:rPr>
          <w:i/>
          <w:iCs/>
          <w:color w:val="000000"/>
          <w:spacing w:val="0"/>
          <w:w w:val="100"/>
          <w:position w:val="0"/>
          <w:shd w:val="clear" w:color="auto" w:fill="auto"/>
          <w:lang w:val="en-US" w:eastAsia="en-US" w:bidi="en-US"/>
        </w:rPr>
        <w:t xml:space="preserve">Blanus cinereus), </w:t>
      </w:r>
      <w:r>
        <w:rPr>
          <w:color w:val="000000"/>
          <w:spacing w:val="0"/>
          <w:w w:val="100"/>
          <w:position w:val="0"/>
          <w:shd w:val="clear" w:color="auto" w:fill="auto"/>
          <w:lang w:val="en-US" w:eastAsia="en-US" w:bidi="en-US"/>
        </w:rPr>
        <w:t xml:space="preserve">the European pond-tortoise </w:t>
      </w:r>
      <w:r>
        <w:rPr>
          <w:i/>
          <w:iCs/>
          <w:color w:val="000000"/>
          <w:spacing w:val="0"/>
          <w:w w:val="100"/>
          <w:position w:val="0"/>
          <w:shd w:val="clear" w:color="auto" w:fill="auto"/>
          <w:lang w:val="en-US" w:eastAsia="en-US" w:bidi="en-US"/>
        </w:rPr>
        <w:t>(Emys europaea),</w:t>
      </w:r>
      <w:r>
        <w:rPr>
          <w:color w:val="000000"/>
          <w:spacing w:val="0"/>
          <w:w w:val="100"/>
          <w:position w:val="0"/>
          <w:shd w:val="clear" w:color="auto" w:fill="auto"/>
          <w:lang w:val="en-US" w:eastAsia="en-US" w:bidi="en-US"/>
        </w:rPr>
        <w:t xml:space="preserve"> and another species, </w:t>
      </w:r>
      <w:r>
        <w:rPr>
          <w:i/>
          <w:iCs/>
          <w:color w:val="000000"/>
          <w:spacing w:val="0"/>
          <w:w w:val="100"/>
          <w:position w:val="0"/>
          <w:shd w:val="clear" w:color="auto" w:fill="auto"/>
          <w:lang w:val="en-US" w:eastAsia="en-US" w:bidi="en-US"/>
        </w:rPr>
        <w:t>Emys Siegrizii.</w:t>
      </w:r>
      <w:r>
        <w:rPr>
          <w:color w:val="000000"/>
          <w:spacing w:val="0"/>
          <w:w w:val="100"/>
          <w:position w:val="0"/>
          <w:shd w:val="clear" w:color="auto" w:fill="auto"/>
          <w:lang w:val="en-US" w:eastAsia="en-US" w:bidi="en-US"/>
        </w:rPr>
        <w:t xml:space="preserve"> Insect life is remarkably abundant and varied. More than 350 species of butterflies, many of them endemic, have been counted in the province of Madrid alone. Besides the ordinary European scorpion, which is general in southern Europe, there is another species, the sting of which is said to be still more severe, found chiefly in the basin of the Ebro. Trout abound in the moun</w:t>
        <w:softHyphen/>
        <w:t xml:space="preserve">tain streams and lakes, barbel and many other species of </w:t>
      </w:r>
      <w:r>
        <w:rPr>
          <w:i/>
          <w:iCs/>
          <w:color w:val="000000"/>
          <w:spacing w:val="0"/>
          <w:w w:val="100"/>
          <w:position w:val="0"/>
          <w:shd w:val="clear" w:color="auto" w:fill="auto"/>
          <w:lang w:val="en-US" w:eastAsia="en-US" w:bidi="en-US"/>
        </w:rPr>
        <w:t xml:space="preserve">Cyprinidαe </w:t>
      </w:r>
      <w:r>
        <w:rPr>
          <w:color w:val="000000"/>
          <w:spacing w:val="0"/>
          <w:w w:val="100"/>
          <w:position w:val="0"/>
          <w:shd w:val="clear" w:color="auto" w:fill="auto"/>
          <w:lang w:val="en-US" w:eastAsia="en-US" w:bidi="en-US"/>
        </w:rPr>
        <w:t xml:space="preserve">in the rivers of the plains. For the sea fauna, see under </w:t>
      </w:r>
      <w:r>
        <w:rPr>
          <w:i/>
          <w:iCs/>
          <w:color w:val="000000"/>
          <w:spacing w:val="0"/>
          <w:w w:val="100"/>
          <w:position w:val="0"/>
          <w:shd w:val="clear" w:color="auto" w:fill="auto"/>
          <w:lang w:val="en-US" w:eastAsia="en-US" w:bidi="en-US"/>
        </w:rPr>
        <w:t xml:space="preserve">Fisheries </w:t>
      </w:r>
      <w:r>
        <w:rPr>
          <w:color w:val="000000"/>
          <w:spacing w:val="0"/>
          <w:w w:val="100"/>
          <w:position w:val="0"/>
          <w:shd w:val="clear" w:color="auto" w:fill="auto"/>
          <w:lang w:val="en-US" w:eastAsia="en-US" w:bidi="en-US"/>
        </w:rPr>
        <w:t>below.</w:t>
      </w:r>
    </w:p>
    <w:p>
      <w:pPr>
        <w:pStyle w:val="Style9"/>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Territorial Divisions and Population.—</w:t>
      </w:r>
      <w:r>
        <w:rPr>
          <w:color w:val="000000"/>
          <w:spacing w:val="0"/>
          <w:w w:val="100"/>
          <w:position w:val="0"/>
          <w:shd w:val="clear" w:color="auto" w:fill="auto"/>
          <w:lang w:val="en-US" w:eastAsia="en-US" w:bidi="en-US"/>
        </w:rPr>
        <w:t>For administrative purposes the kingdom of Spain has since 1833 been divided into forty-nine provinces, forty-seven of which belong to the mainland. Before 1833 the mainland was divided into thirteen provinces, also enume</w:t>
        <w:softHyphen/>
        <w:t>rated below, which took their names from the ancient kingdoms and principalities out of which the modern kingdom was built up. All the continental provinces, ancient and modern, as also the Balearic Islands, Canary Islands, Annobon, Ceuta, Corisco, the Chaffarinas, Fernando Po, the Muni River Settlements and Rio de Oro are described in separate articles.</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probable’ that the population of Spain attained its height during the early Roman Empire, when it has been estimated, though of course on imperfect data, to have numbered forty or fifty millions. The best evidence of a dense population in those days is that afforded by the specific estimates of ancient writers for some of the larger cities. The population of Tarraco (Tarragona) was estimated at 2</w:t>
      </w:r>
      <w:r>
        <w:rPr>
          <w:color w:val="000000"/>
          <w:spacing w:val="0"/>
          <w:w w:val="100"/>
          <w:position w:val="0"/>
          <w:shd w:val="clear" w:color="auto" w:fill="auto"/>
          <w:lang w:val="en-US" w:eastAsia="en-US" w:bidi="en-US"/>
        </w:rPr>
        <w:t xml:space="preserve">½ </w:t>
      </w:r>
      <w:r>
        <w:rPr>
          <w:color w:val="000000"/>
          <w:spacing w:val="0"/>
          <w:w w:val="100"/>
          <w:position w:val="0"/>
          <w:shd w:val="clear" w:color="auto" w:fill="auto"/>
          <w:lang w:val="en-US" w:eastAsia="en-US" w:bidi="en-US"/>
        </w:rPr>
        <w:t>millions, and those of Nova Carthago (Cartagena), Italica (Sevilla la Vieja), and other cities at several hundreds of thousands. Emerita Augusta (Mérida) had a Roman garrison of 90,000 men, which also implies a large population.</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Spanish census was made in 1594, but some of the provinces now included in the kingdom were not embraced in the enumera- tion, so that the total population assigned to Spain within its present limits for that date is obtained by adding the results of enumerations at different dates in the provinces then ex- cluded. The total thus arrived at is 8,206,791. No other census took place till 1787, when the total was found to be 10,268,150; and this census was followed by another in 1797, when the population was returned as 10,541,221. Various estimates were made within the next sixty years, but the census of 1857 proved that some of these estimates must have been greatly below the truth. The total population then ascertained to exist in Spain was 15,464,340, an increase of not much less than 50% since the census of 1797. Between 1857 and 1877 the population increased to 16,631,869; and by 1897 it had risen to 18,132,475. The annual rate of increase during this period of forty years was less than ∙45%, or lower than that of any other European state, except France in the later years of the 19th century. The census of 1900, however, showed that the annual rate of increase had risen, between 1897 and 1900, to ∙89%, or nearly double its former amount. This fact may be explained partly by the growth of mining and certain other industries, partly, perhaps, by the recuperative power which the Spanish people has always exhibited after war—the most notable instance</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which is the above-mentioned net increase of nearly 50% between 1797 and 1857, despite the Napoleonic invasion and other disastrous wars. A similar though much smaller acceleration in the annual rate of increase after the Carlist Wars of 1874-76 is largely attributable to the prosperity caused by railway development between 1877 and 1887. It would be unjustifiable to assume from the inadequate data available that the Spanish people retains the vitality which characterized it from 1797 to 1857. It is, however, clear from the census returns that at the beginning of the 20th century</w:t>
      </w:r>
    </w:p>
    <w:tbl>
      <w:tblPr>
        <w:tblOverlap w:val="never"/>
        <w:jc w:val="left"/>
        <w:tblLayout w:type="fixed"/>
      </w:tblPr>
      <w:tblGrid>
        <w:gridCol w:w="1915"/>
        <w:gridCol w:w="802"/>
        <w:gridCol w:w="970"/>
        <w:gridCol w:w="974"/>
        <w:gridCol w:w="950"/>
        <w:gridCol w:w="826"/>
      </w:tblGrid>
      <w:tr>
        <w:trPr>
          <w:trHeight w:val="278"/>
        </w:trPr>
        <w:tc>
          <w:tcPr>
            <w:gridSpan w:val="6"/>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Area and Population of the Former and Present Provinces.</w:t>
            </w:r>
          </w:p>
        </w:tc>
      </w:tr>
      <w:tr>
        <w:trPr>
          <w:trHeight w:val="638"/>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Provinces.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Area in sq. m.</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Pop., 1857.</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Pop., 1887.</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Pop., 1900.</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Pop. per sq. m., 1900.</w:t>
            </w:r>
          </w:p>
        </w:tc>
      </w:tr>
      <w:tr>
        <w:trPr>
          <w:trHeight w:val="240"/>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New Castile.</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27.935</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1.477.915</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1.778.155</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1,923,310</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6o∙8</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Madrid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3&gt;084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475.785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683,484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775.034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25i∙3</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Guadalajara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4,676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199,088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205,040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200,186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42∙8</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Toledo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5.9 «9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328,755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356,398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376,814</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63∙6</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Cuenca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6,636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229,959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246,091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249,696</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37∙6</w:t>
            </w:r>
          </w:p>
        </w:tc>
      </w:tr>
      <w:tr>
        <w:trPr>
          <w:trHeight w:val="187"/>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Ciudad Real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7.620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244.328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287,142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321,580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42∙2</w:t>
            </w:r>
          </w:p>
        </w:tc>
      </w:tr>
      <w:tr>
        <w:trPr>
          <w:trHeight w:val="187"/>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Old Castile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25.37≡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1,609,948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744</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3ol</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1,785.403</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7o∙3</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Burgos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5.480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333.356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342</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988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338,828</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6ι∙8</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Logroño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1.946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173,812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183,430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 «9.376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bscript"/>
                <w:lang w:val="en-US" w:eastAsia="en-US" w:bidi="en-US"/>
              </w:rPr>
              <w:t>ν</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97∙3</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Santander</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2,108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214,441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249,116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276,∞3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13o∙9</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tabs>
                <w:tab w:leader="dot" w:pos="1722" w:val="left"/>
              </w:tabs>
              <w:bidi w:val="0"/>
              <w:spacing w:line="240" w:lineRule="auto"/>
              <w:ind w:left="0" w:firstLine="360"/>
              <w:jc w:val="left"/>
            </w:pPr>
            <w:r>
              <w:rPr>
                <w:color w:val="000000"/>
                <w:spacing w:val="0"/>
                <w:w w:val="100"/>
                <w:position w:val="0"/>
                <w:shd w:val="clear" w:color="auto" w:fill="auto"/>
                <w:lang w:val="en-US" w:eastAsia="en-US" w:bidi="en-US"/>
              </w:rPr>
              <w:t>Avila</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3.042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164,039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195,321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200,457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65∙9</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Segovia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2.635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146,839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155.927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159.243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6o∙4</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tabs>
                <w:tab w:pos="866" w:val="left"/>
              </w:tabs>
              <w:bidi w:val="0"/>
              <w:spacing w:line="240" w:lineRule="auto"/>
              <w:ind w:left="0" w:firstLine="0"/>
              <w:jc w:val="left"/>
            </w:pPr>
            <w:r>
              <w:rPr>
                <w:color w:val="000000"/>
                <w:spacing w:val="0"/>
                <w:w w:val="100"/>
                <w:position w:val="0"/>
                <w:shd w:val="clear" w:color="auto" w:fill="auto"/>
                <w:lang w:val="en-US" w:eastAsia="en-US" w:bidi="en-US"/>
              </w:rPr>
              <w:t>. Soria</w:t>
              <w:tab/>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3.983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147.468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157,∞8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150,462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37’7</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tabs>
                <w:tab w:pos="1165" w:val="left"/>
              </w:tabs>
              <w:bidi w:val="0"/>
              <w:spacing w:line="240" w:lineRule="auto"/>
              <w:ind w:left="0" w:firstLine="360"/>
              <w:jc w:val="left"/>
            </w:pPr>
            <w:r>
              <w:rPr>
                <w:color w:val="000000"/>
                <w:spacing w:val="0"/>
                <w:w w:val="100"/>
                <w:position w:val="0"/>
                <w:shd w:val="clear" w:color="auto" w:fill="auto"/>
                <w:lang w:val="en-US" w:eastAsia="en-US" w:bidi="en-US"/>
              </w:rPr>
              <w:t>Palencia .</w:t>
              <w:tab/>
              <w:t>.∙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3&gt;256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185.970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189,349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192,473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59∙ι</w:t>
            </w:r>
          </w:p>
        </w:tc>
      </w:tr>
      <w:tr>
        <w:trPr>
          <w:trHeight w:val="187"/>
        </w:trPr>
        <w:tc>
          <w:tcPr>
            <w:tcBorders>
              <w:left w:val="single" w:sz="4"/>
            </w:tcBorders>
            <w:shd w:val="clear" w:color="auto" w:fill="FFFFFF"/>
            <w:vAlign w:val="top"/>
          </w:tcPr>
          <w:p>
            <w:pPr>
              <w:pStyle w:val="Style3"/>
              <w:keepNext w:val="0"/>
              <w:keepLines w:val="0"/>
              <w:widowControl w:val="0"/>
              <w:shd w:val="clear" w:color="auto" w:fill="auto"/>
              <w:tabs>
                <w:tab w:pos="1429" w:val="left"/>
                <w:tab w:pos="1683" w:val="left"/>
              </w:tabs>
              <w:bidi w:val="0"/>
              <w:spacing w:line="240" w:lineRule="auto"/>
              <w:ind w:left="0" w:firstLine="360"/>
              <w:jc w:val="left"/>
            </w:pPr>
            <w:r>
              <w:rPr>
                <w:color w:val="000000"/>
                <w:spacing w:val="0"/>
                <w:w w:val="100"/>
                <w:position w:val="0"/>
                <w:shd w:val="clear" w:color="auto" w:fill="auto"/>
                <w:lang w:val="en-US" w:eastAsia="en-US" w:bidi="en-US"/>
              </w:rPr>
              <w:t>Valladolid .</w:t>
              <w:tab/>
              <w:t>.</w:t>
              <w:tab/>
              <w: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2,922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244.023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271,162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278,561</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95∙3</w:t>
            </w:r>
          </w:p>
        </w:tc>
      </w:tr>
      <w:tr>
        <w:trPr>
          <w:trHeight w:val="187"/>
        </w:trPr>
        <w:tc>
          <w:tcPr>
            <w:tcBorders>
              <w:left w:val="single" w:sz="4"/>
            </w:tcBorders>
            <w:shd w:val="clear" w:color="auto" w:fill="FFFFFF"/>
            <w:vAlign w:val="bottom"/>
          </w:tcPr>
          <w:p>
            <w:pPr>
              <w:pStyle w:val="Style3"/>
              <w:keepNext w:val="0"/>
              <w:keepLines w:val="0"/>
              <w:widowControl w:val="0"/>
              <w:shd w:val="clear" w:color="auto" w:fill="auto"/>
              <w:tabs>
                <w:tab w:pos="905" w:val="left"/>
              </w:tabs>
              <w:bidi w:val="0"/>
              <w:spacing w:line="240" w:lineRule="auto"/>
              <w:ind w:left="0" w:firstLine="0"/>
              <w:jc w:val="left"/>
            </w:pPr>
            <w:r>
              <w:rPr>
                <w:color w:val="000000"/>
                <w:spacing w:val="0"/>
                <w:w w:val="100"/>
                <w:position w:val="0"/>
                <w:shd w:val="clear" w:color="auto" w:fill="auto"/>
                <w:lang w:val="en-US" w:eastAsia="en-US" w:bidi="en-US"/>
              </w:rPr>
              <w:t>Asturias</w:t>
              <w:tab/>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4.205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524.529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615,844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627,069</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149∙1</w:t>
            </w:r>
          </w:p>
        </w:tc>
      </w:tr>
      <w:tr>
        <w:trPr>
          <w:trHeight w:val="187"/>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Oviedo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4.205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524.529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615.844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627,069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149∙1</w:t>
            </w:r>
          </w:p>
        </w:tc>
      </w:tr>
      <w:tr>
        <w:trPr>
          <w:trHeight w:val="182"/>
        </w:trPr>
        <w:tc>
          <w:tcPr>
            <w:tcBorders>
              <w:left w:val="single" w:sz="4"/>
            </w:tcBorders>
            <w:shd w:val="clear" w:color="auto" w:fill="FFFFFF"/>
            <w:vAlign w:val="bottom"/>
          </w:tcPr>
          <w:p>
            <w:pPr>
              <w:pStyle w:val="Style3"/>
              <w:keepNext w:val="0"/>
              <w:keepLines w:val="0"/>
              <w:widowControl w:val="0"/>
              <w:shd w:val="clear" w:color="auto" w:fill="auto"/>
              <w:tabs>
                <w:tab w:leader="dot" w:pos="1682" w:val="left"/>
              </w:tabs>
              <w:bidi w:val="0"/>
              <w:spacing w:line="240" w:lineRule="auto"/>
              <w:ind w:left="0" w:firstLine="0"/>
              <w:jc w:val="left"/>
            </w:pPr>
            <w:r>
              <w:rPr>
                <w:color w:val="000000"/>
                <w:spacing w:val="0"/>
                <w:w w:val="100"/>
                <w:position w:val="0"/>
                <w:shd w:val="clear" w:color="auto" w:fill="auto"/>
                <w:lang w:val="en-US" w:eastAsia="en-US" w:bidi="en-US"/>
              </w:rPr>
              <w:t>Leon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862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861,434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984.711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982.393</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66∙1</w:t>
            </w:r>
          </w:p>
        </w:tc>
      </w:tr>
      <w:tr>
        <w:trPr>
          <w:trHeight w:val="158"/>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Salamanca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829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263,516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320,588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32θ.7&lt;&gt;5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66∙4</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Zamora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4.097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249,162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274,890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275.545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67∙2</w:t>
            </w:r>
          </w:p>
        </w:tc>
      </w:tr>
      <w:tr>
        <w:trPr>
          <w:trHeight w:val="182"/>
        </w:trPr>
        <w:tc>
          <w:tcPr>
            <w:tcBorders>
              <w:left w:val="single" w:sz="4"/>
            </w:tcBorders>
            <w:shd w:val="clear" w:color="auto" w:fill="FFFFFF"/>
            <w:vAlign w:val="top"/>
          </w:tcPr>
          <w:p>
            <w:pPr>
              <w:pStyle w:val="Style3"/>
              <w:keepNext w:val="0"/>
              <w:keepLines w:val="0"/>
              <w:widowControl w:val="0"/>
              <w:shd w:val="clear" w:color="auto" w:fill="auto"/>
              <w:tabs>
                <w:tab w:leader="dot" w:pos="1712" w:val="left"/>
              </w:tabs>
              <w:bidi w:val="0"/>
              <w:spacing w:line="240" w:lineRule="auto"/>
              <w:ind w:left="0" w:firstLine="360"/>
              <w:jc w:val="left"/>
            </w:pPr>
            <w:r>
              <w:rPr>
                <w:color w:val="000000"/>
                <w:spacing w:val="0"/>
                <w:w w:val="100"/>
                <w:position w:val="0"/>
                <w:shd w:val="clear" w:color="auto" w:fill="auto"/>
                <w:lang w:val="en-US" w:eastAsia="en-US" w:bidi="en-US"/>
              </w:rPr>
              <w:t>Leon</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5.936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348.756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389.233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386,083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650</w:t>
            </w:r>
          </w:p>
        </w:tc>
      </w:tr>
      <w:tr>
        <w:trPr>
          <w:trHeight w:val="187"/>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ι6,n8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707.115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808,685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882,410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54∙7</w:t>
            </w:r>
          </w:p>
        </w:tc>
      </w:tr>
      <w:tr>
        <w:trPr>
          <w:trHeight w:val="163"/>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Badajoz </w:t>
            </w:r>
            <w:r>
              <w:rPr>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8.451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404,981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476,273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520,246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6ι∙6</w:t>
            </w:r>
          </w:p>
        </w:tc>
      </w:tr>
      <w:tr>
        <w:trPr>
          <w:trHeight w:val="182"/>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Cáceres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7.667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302.134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332,412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362,164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47∙2</w:t>
            </w:r>
          </w:p>
        </w:tc>
      </w:tr>
      <w:tr>
        <w:trPr>
          <w:trHeight w:val="182"/>
        </w:trPr>
        <w:tc>
          <w:tcPr>
            <w:tcBorders>
              <w:left w:val="single" w:sz="4"/>
            </w:tcBorders>
            <w:shd w:val="clear" w:color="auto" w:fill="FFFFFF"/>
            <w:vAlign w:val="bottom"/>
          </w:tcPr>
          <w:p>
            <w:pPr>
              <w:pStyle w:val="Style3"/>
              <w:keepNext w:val="0"/>
              <w:keepLines w:val="0"/>
              <w:widowControl w:val="0"/>
              <w:shd w:val="clear" w:color="auto" w:fill="auto"/>
              <w:tabs>
                <w:tab w:leader="dot" w:pos="1680" w:val="left"/>
              </w:tabs>
              <w:bidi w:val="0"/>
              <w:spacing w:line="240" w:lineRule="auto"/>
              <w:ind w:left="0" w:firstLine="0"/>
              <w:jc w:val="left"/>
            </w:pPr>
            <w:r>
              <w:rPr>
                <w:color w:val="000000"/>
                <w:spacing w:val="0"/>
                <w:w w:val="100"/>
                <w:position w:val="0"/>
                <w:shd w:val="clear" w:color="auto" w:fill="auto"/>
                <w:lang w:val="en-US" w:eastAsia="en-US" w:bidi="en-US"/>
              </w:rPr>
              <w:t>Galicia</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11.254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1.776,879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1.967.239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1,980,515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I75∙8</w:t>
            </w:r>
          </w:p>
        </w:tc>
      </w:tr>
      <w:tr>
        <w:trPr>
          <w:trHeight w:val="163"/>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Corunna (Coruña)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3.051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551.989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635.327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653&gt;556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214∙2</w:t>
            </w:r>
          </w:p>
        </w:tc>
      </w:tr>
      <w:tr>
        <w:trPr>
          <w:trHeight w:val="163"/>
        </w:trPr>
        <w:tc>
          <w:tcPr>
            <w:tcBorders>
              <w:left w:val="single" w:sz="4"/>
            </w:tcBorders>
            <w:shd w:val="clear" w:color="auto" w:fill="FFFFFF"/>
            <w:vAlign w:val="top"/>
          </w:tcPr>
          <w:p>
            <w:pPr>
              <w:pStyle w:val="Style3"/>
              <w:keepNext w:val="0"/>
              <w:keepLines w:val="0"/>
              <w:widowControl w:val="0"/>
              <w:shd w:val="clear" w:color="auto" w:fill="auto"/>
              <w:tabs>
                <w:tab w:pos="922" w:val="left"/>
              </w:tabs>
              <w:bidi w:val="0"/>
              <w:spacing w:line="240" w:lineRule="auto"/>
              <w:ind w:left="0" w:firstLine="360"/>
              <w:jc w:val="left"/>
            </w:pPr>
            <w:r>
              <w:rPr>
                <w:color w:val="000000"/>
                <w:spacing w:val="0"/>
                <w:w w:val="100"/>
                <w:position w:val="0"/>
                <w:shd w:val="clear" w:color="auto" w:fill="auto"/>
                <w:lang w:val="en-US" w:eastAsia="en-US" w:bidi="en-US"/>
              </w:rPr>
              <w:t>Lugo</w:t>
              <w:tab/>
              <w: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3.814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424</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186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438,076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463</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386</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122∙o</w:t>
            </w:r>
          </w:p>
        </w:tc>
      </w:tr>
      <w:tr>
        <w:trPr>
          <w:trHeight w:val="14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Orense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2,694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371,818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415.237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404</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311</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150· I</w:t>
            </w:r>
          </w:p>
        </w:tc>
      </w:tr>
      <w:tr>
        <w:trPr>
          <w:trHeight w:val="187"/>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Pontevedra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1.695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428,886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47⅛.599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457</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262</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269∙8</w:t>
            </w:r>
          </w:p>
        </w:tc>
      </w:tr>
      <w:tr>
        <w:trPr>
          <w:trHeight w:val="192"/>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Andalusia (Andaluçia)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33.777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2,937 &gt;183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3.393.68i</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3,562</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606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105’4</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Almería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3,3&lt;×)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315&gt;664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345.929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359&gt;θi3</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106∙8</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Granada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4.928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444,629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482,787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492,460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99.9</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Malaga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2,812’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451,406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523,9i5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511.989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182∙1</w:t>
            </w:r>
          </w:p>
        </w:tc>
      </w:tr>
      <w:tr>
        <w:trPr>
          <w:trHeight w:val="16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Cordova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5,299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351.536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413.883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455.859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85∙8</w:t>
            </w:r>
          </w:p>
        </w:tc>
      </w:tr>
      <w:tr>
        <w:trPr>
          <w:trHeight w:val="149"/>
        </w:trPr>
        <w:tc>
          <w:tcPr>
            <w:tcBorders>
              <w:left w:val="single" w:sz="4"/>
            </w:tcBorders>
            <w:shd w:val="clear" w:color="auto" w:fill="FFFFFF"/>
            <w:vAlign w:val="bottom"/>
          </w:tcPr>
          <w:p>
            <w:pPr>
              <w:pStyle w:val="Style3"/>
              <w:keepNext w:val="0"/>
              <w:keepLines w:val="0"/>
              <w:widowControl w:val="0"/>
              <w:shd w:val="clear" w:color="auto" w:fill="auto"/>
              <w:tabs>
                <w:tab w:pos="1179" w:val="left"/>
                <w:tab w:pos="1434" w:val="left"/>
                <w:tab w:pos="1693" w:val="left"/>
              </w:tabs>
              <w:bidi w:val="0"/>
              <w:spacing w:line="240" w:lineRule="auto"/>
              <w:ind w:left="0" w:firstLine="360"/>
              <w:jc w:val="left"/>
            </w:pPr>
            <w:r>
              <w:rPr>
                <w:color w:val="000000"/>
                <w:spacing w:val="0"/>
                <w:w w:val="100"/>
                <w:position w:val="0"/>
                <w:shd w:val="clear" w:color="auto" w:fill="auto"/>
                <w:lang w:val="en-US" w:eastAsia="en-US" w:bidi="en-US"/>
              </w:rPr>
              <w:t>Jaen ...</w:t>
              <w:tab/>
              <w:t>.</w:t>
              <w:tab/>
              <w:t>.</w:t>
              <w:tab/>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5.203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345&gt;879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428,152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474&gt;49&lt;&gt;</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91∙2</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Cadiz (with Ceuta)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2-834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390,192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423,261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452.659</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I59∙7</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Seville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5428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463,486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535.687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555.256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ιoo∙4</w:t>
            </w:r>
          </w:p>
        </w:tc>
      </w:tr>
      <w:tr>
        <w:trPr>
          <w:trHeight w:val="187"/>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Huelva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3.9i3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174.391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240,067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260</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880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66∙6</w:t>
            </w:r>
          </w:p>
        </w:tc>
      </w:tr>
      <w:tr>
        <w:trPr>
          <w:trHeight w:val="187"/>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Valencia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8,830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1,246,485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1.461,453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i,587&gt;533</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I79∙7</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Castellon de la Plana</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2,495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260,919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292,952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310,828</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I24∙5</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Valencia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4&gt;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606,608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73θ.9</w:t>
            </w:r>
            <w:r>
              <w:rPr>
                <w:color w:val="000000"/>
                <w:spacing w:val="0"/>
                <w:w w:val="100"/>
                <w:position w:val="0"/>
                <w:shd w:val="clear" w:color="auto" w:fill="auto"/>
                <w:vertAlign w:val="superscript"/>
                <w:lang w:val="en-US" w:eastAsia="en-US" w:bidi="en-US"/>
              </w:rPr>
              <w:t>16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806</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556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194’3</w:t>
            </w:r>
          </w:p>
        </w:tc>
      </w:tr>
      <w:tr>
        <w:trPr>
          <w:trHeight w:val="187"/>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Alicante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2,185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378&gt;958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437.685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470</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149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215∙1</w:t>
            </w:r>
          </w:p>
        </w:tc>
      </w:tr>
      <w:tr>
        <w:trPr>
          <w:trHeight w:val="192"/>
        </w:trPr>
        <w:tc>
          <w:tcPr>
            <w:tcBorders>
              <w:left w:val="single" w:sz="4"/>
            </w:tcBorders>
            <w:shd w:val="clear" w:color="auto" w:fill="FFFFFF"/>
            <w:vAlign w:val="bottom"/>
          </w:tcPr>
          <w:p>
            <w:pPr>
              <w:pStyle w:val="Style3"/>
              <w:keepNext w:val="0"/>
              <w:keepLines w:val="0"/>
              <w:widowControl w:val="0"/>
              <w:shd w:val="clear" w:color="auto" w:fill="auto"/>
              <w:tabs>
                <w:tab w:leader="dot" w:pos="1675" w:val="left"/>
              </w:tabs>
              <w:bidi w:val="0"/>
              <w:spacing w:line="240" w:lineRule="auto"/>
              <w:ind w:left="0" w:firstLine="0"/>
              <w:jc w:val="left"/>
            </w:pPr>
            <w:r>
              <w:rPr>
                <w:color w:val="000000"/>
                <w:spacing w:val="0"/>
                <w:w w:val="100"/>
                <w:position w:val="0"/>
                <w:shd w:val="clear" w:color="auto" w:fill="auto"/>
                <w:lang w:val="en-US" w:eastAsia="en-US" w:bidi="en-US"/>
              </w:rPr>
              <w:t>Murcia</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10,190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582,087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720,843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815,864</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8o∙o</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Albacete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5.737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201,118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231.073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237&gt;δ77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4i∙3</w:t>
            </w:r>
          </w:p>
        </w:tc>
      </w:tr>
      <w:tr>
        <w:trPr>
          <w:trHeight w:val="187"/>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Murcia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4ι453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380,969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489.770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577.987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129∙8</w:t>
            </w:r>
          </w:p>
        </w:tc>
      </w:tr>
      <w:tr>
        <w:trPr>
          <w:trHeight w:val="187"/>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Catalonia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12,427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1,652,291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1,836,139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1,966,382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158∙2</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Lérida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4,690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306,994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296,609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274.590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58∙5</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Gerona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2,264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310,970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311.153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299</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287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132∙2</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Barcelona</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2,968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713&gt;734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«79.771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ι.054&gt;54i</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355*3</w:t>
            </w:r>
          </w:p>
        </w:tc>
      </w:tr>
      <w:tr>
        <w:trPr>
          <w:trHeight w:val="187"/>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Tarragona</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2,505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320,593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348,606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337&gt;964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I34∙9</w:t>
            </w:r>
          </w:p>
        </w:tc>
      </w:tr>
      <w:tr>
        <w:trPr>
          <w:trHeight w:val="182"/>
        </w:trPr>
        <w:tc>
          <w:tcPr>
            <w:tcBorders>
              <w:left w:val="single" w:sz="4"/>
            </w:tcBorders>
            <w:shd w:val="clear" w:color="auto" w:fill="FFFFFF"/>
            <w:vAlign w:val="bottom"/>
          </w:tcPr>
          <w:p>
            <w:pPr>
              <w:pStyle w:val="Style3"/>
              <w:keepNext w:val="0"/>
              <w:keepLines w:val="0"/>
              <w:widowControl w:val="0"/>
              <w:shd w:val="clear" w:color="auto" w:fill="auto"/>
              <w:tabs>
                <w:tab w:leader="dot" w:pos="1678" w:val="left"/>
              </w:tabs>
              <w:bidi w:val="0"/>
              <w:spacing w:line="240" w:lineRule="auto"/>
              <w:ind w:left="0" w:firstLine="0"/>
              <w:jc w:val="left"/>
            </w:pPr>
            <w:r>
              <w:rPr>
                <w:color w:val="000000"/>
                <w:spacing w:val="0"/>
                <w:w w:val="100"/>
                <w:position w:val="0"/>
                <w:shd w:val="clear" w:color="auto" w:fill="auto"/>
                <w:lang w:val="en-US" w:eastAsia="en-US" w:bidi="en-US"/>
              </w:rPr>
              <w:t>Aragon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18,294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880,643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922,554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912</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7n</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49∙8</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Huesca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5^48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257,839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260,585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244</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867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 ∙8</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tabs>
                <w:tab w:pos="1172" w:val="left"/>
                <w:tab w:pos="1426" w:val="left"/>
                <w:tab w:pos="1681" w:val="left"/>
              </w:tabs>
              <w:bidi w:val="0"/>
              <w:spacing w:line="240" w:lineRule="auto"/>
              <w:ind w:left="0" w:firstLine="360"/>
              <w:jc w:val="left"/>
            </w:pPr>
            <w:r>
              <w:rPr>
                <w:color w:val="000000"/>
                <w:spacing w:val="0"/>
                <w:w w:val="100"/>
                <w:position w:val="0"/>
                <w:shd w:val="clear" w:color="auto" w:fill="auto"/>
                <w:lang w:val="en-US" w:eastAsia="en-US" w:bidi="en-US"/>
              </w:rPr>
              <w:t>Saragossa ·</w:t>
              <w:tab/>
              <w:t>.</w:t>
              <w:tab/>
              <w:t>.</w:t>
              <w:tab/>
              <w: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726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384.176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415.152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421,843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62∙7</w:t>
            </w:r>
          </w:p>
        </w:tc>
      </w:tr>
      <w:tr>
        <w:trPr>
          <w:trHeight w:val="182"/>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Teruel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l-GR" w:eastAsia="el-GR" w:bidi="el-GR"/>
              </w:rPr>
              <w:t>5»72Ο</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238,628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246,817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246,001</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43∙o</w:t>
            </w:r>
          </w:p>
        </w:tc>
      </w:tr>
      <w:tr>
        <w:trPr>
          <w:trHeight w:val="197"/>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Navarre (Navarra).</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297,422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7&gt;994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307,669</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75-8</w:t>
            </w:r>
          </w:p>
        </w:tc>
      </w:tr>
      <w:tr>
        <w:trPr>
          <w:trHeight w:val="17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Navarre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297,422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7∣994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307,669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75-8</w:t>
            </w:r>
          </w:p>
        </w:tc>
      </w:tr>
      <w:tr>
        <w:trPr>
          <w:trHeight w:val="187"/>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Basque Provinces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2,739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4i3&gt;47o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5IO.I94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603,596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22o∙3</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Biscay (Vizcaya)</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836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ι6o,579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234,880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3</w:t>
            </w:r>
            <w:r>
              <w:rPr>
                <w:smallCaps/>
                <w:color w:val="000000"/>
                <w:spacing w:val="0"/>
                <w:w w:val="100"/>
                <w:position w:val="0"/>
                <w:shd w:val="clear" w:color="auto" w:fill="auto"/>
                <w:vertAlign w:val="superscript"/>
                <w:lang w:val="en-US" w:eastAsia="en-US" w:bidi="en-US"/>
              </w:rPr>
              <w:t>ii</w:t>
            </w:r>
            <w:r>
              <w:rPr>
                <w:smallCaps/>
                <w:color w:val="000000"/>
                <w:spacing w:val="0"/>
                <w:w w:val="100"/>
                <w:position w:val="0"/>
                <w:shd w:val="clear" w:color="auto" w:fill="auto"/>
                <w:lang w:val="en-US" w:eastAsia="en-US" w:bidi="en-US"/>
              </w:rPr>
              <w:t>&gt;36i</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372∙4</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Guiρuzcoa</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728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156.493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181,149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195.850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269 ∙o</w:t>
            </w:r>
          </w:p>
        </w:tc>
      </w:tr>
      <w:tr>
        <w:trPr>
          <w:trHeight w:val="182"/>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Alava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Li75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96&gt;398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94.165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96,385</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82∙o</w:t>
            </w:r>
          </w:p>
        </w:tc>
      </w:tr>
      <w:tr>
        <w:trPr>
          <w:trHeight w:val="211"/>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Balearic Islands</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L935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262,893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3i3&gt;48θ</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311.649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161∙1</w:t>
            </w:r>
          </w:p>
        </w:tc>
      </w:tr>
      <w:tr>
        <w:trPr>
          <w:trHeight w:val="26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Canary Islands</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2,807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234,046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301.963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358,564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127∙5</w:t>
            </w:r>
          </w:p>
        </w:tc>
      </w:tr>
      <w:tr>
        <w:trPr>
          <w:trHeight w:val="336"/>
        </w:trPr>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Total ....</w:t>
            </w:r>
          </w:p>
        </w:tc>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194,700</w:t>
            </w:r>
          </w:p>
        </w:tc>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•5.464.340</w:t>
            </w:r>
          </w:p>
        </w:tc>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17,667,256</w:t>
            </w:r>
          </w:p>
        </w:tc>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18,618,086</w:t>
            </w:r>
          </w:p>
        </w:tc>
        <w:tc>
          <w:tcPr>
            <w:tcBorders>
              <w:top w:val="single" w:sz="4"/>
              <w:left w:val="single" w:sz="4"/>
              <w:bottom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95-6</w:t>
            </w:r>
          </w:p>
        </w:tc>
      </w:tr>
    </w:tbl>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0">
    <w:name w:val="Body text_"/>
    <w:basedOn w:val="DefaultParagraphFont"/>
    <w:link w:val="Style9"/>
    <w:rPr>
      <w:rFonts w:ascii="Cambria" w:eastAsia="Cambria" w:hAnsi="Cambria" w:cs="Cambria"/>
      <w:b w:val="0"/>
      <w:bCs w:val="0"/>
      <w:i w:val="0"/>
      <w:iCs w:val="0"/>
      <w:smallCaps w:val="0"/>
      <w:strike w:val="0"/>
      <w:sz w:val="17"/>
      <w:szCs w:val="17"/>
      <w:u w:val="none"/>
    </w:rPr>
  </w:style>
  <w:style w:type="paragraph" w:customStyle="1" w:styleId="Style3">
    <w:name w:val="Other"/>
    <w:basedOn w:val="Normal"/>
    <w:link w:val="CharStyle4"/>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styleId="Style9">
    <w:name w:val="Body text"/>
    <w:basedOn w:val="Normal"/>
    <w:link w:val="CharStyle10"/>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