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N (E. C. </w:t>
      </w:r>
      <w:r>
        <w:rPr>
          <w:color w:val="000000"/>
          <w:spacing w:val="0"/>
          <w:w w:val="100"/>
          <w:position w:val="0"/>
          <w:sz w:val="18"/>
          <w:szCs w:val="18"/>
          <w:shd w:val="clear" w:color="auto" w:fill="auto"/>
          <w:lang w:val="en-US" w:eastAsia="en-US" w:bidi="en-US"/>
        </w:rPr>
        <w:t xml:space="preserve">Pickering, generalized by </w:t>
      </w:r>
      <w:r>
        <w:rPr>
          <w:color w:val="000000"/>
          <w:spacing w:val="0"/>
          <w:w w:val="100"/>
          <w:position w:val="0"/>
          <w:sz w:val="18"/>
          <w:szCs w:val="18"/>
          <w:shd w:val="clear" w:color="auto" w:fill="auto"/>
          <w:lang w:val="fr-FR" w:eastAsia="fr-FR" w:bidi="fr-FR"/>
        </w:rPr>
        <w:t>T. N.</w:t>
      </w:r>
    </w:p>
    <w:p>
      <w:pPr>
        <w:pStyle w:val="Style3"/>
        <w:keepNext w:val="0"/>
        <w:keepLines w:val="0"/>
        <w:widowControl w:val="0"/>
        <w:shd w:val="clear" w:color="auto" w:fill="auto"/>
        <w:tabs>
          <w:tab w:pos="532" w:val="left"/>
        </w:tabs>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(3)</w:t>
        <w:tab/>
      </w:r>
      <w:r>
        <w:rPr>
          <w:color w:val="000000"/>
          <w:spacing w:val="0"/>
          <w:w w:val="100"/>
          <w:position w:val="0"/>
          <w:sz w:val="18"/>
          <w:szCs w:val="18"/>
          <w:shd w:val="clear" w:color="auto" w:fill="auto"/>
          <w:lang w:val="el-GR" w:eastAsia="el-GR" w:bidi="el-GR"/>
        </w:rPr>
        <w:t>«=Α-(</w:t>
      </w:r>
      <w:r>
        <w:rPr>
          <w:color w:val="000000"/>
          <w:spacing w:val="0"/>
          <w:w w:val="100"/>
          <w:position w:val="0"/>
          <w:sz w:val="18"/>
          <w:szCs w:val="18"/>
          <w:shd w:val="clear" w:color="auto" w:fill="auto"/>
          <w:vertAlign w:val="subscript"/>
          <w:lang w:val="el-GR" w:eastAsia="el-GR" w:bidi="el-GR"/>
        </w:rPr>
        <w:t>5+μ)</w:t>
      </w:r>
      <w:r>
        <w:rPr>
          <w:color w:val="000000"/>
          <w:spacing w:val="0"/>
          <w:w w:val="100"/>
          <w:position w:val="0"/>
          <w:sz w:val="18"/>
          <w:szCs w:val="18"/>
          <w:shd w:val="clear" w:color="auto" w:fill="auto"/>
          <w:lang w:val="el-GR" w:eastAsia="el-GR" w:bidi="el-GR"/>
        </w:rPr>
        <w:t>ι</w:t>
      </w:r>
      <w:r>
        <w:rPr>
          <w:color w:val="000000"/>
          <w:spacing w:val="0"/>
          <w:w w:val="100"/>
          <w:position w:val="0"/>
          <w:sz w:val="18"/>
          <w:szCs w:val="18"/>
          <w:shd w:val="clear" w:color="auto" w:fill="auto"/>
          <w:vertAlign w:val="subscript"/>
          <w:lang w:val="el-GR" w:eastAsia="el-GR" w:bidi="el-GR"/>
        </w:rPr>
        <w:t xml:space="preserve">+α </w:t>
      </w:r>
      <w:r>
        <w:rPr>
          <w:color w:val="000000"/>
          <w:spacing w:val="0"/>
          <w:w w:val="100"/>
          <w:position w:val="0"/>
          <w:sz w:val="18"/>
          <w:szCs w:val="18"/>
          <w:shd w:val="clear" w:color="auto" w:fill="auto"/>
          <w:vertAlign w:val="subscript"/>
          <w:lang w:val="en-US" w:eastAsia="en-US" w:bidi="en-US"/>
        </w:rPr>
        <w:t>τhicle</w:t>
      </w:r>
      <w:r>
        <w:rPr>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tabs>
          <w:tab w:pos="551"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(4)</w:t>
        <w:tab/>
      </w:r>
      <w:r>
        <w:rPr>
          <w:color w:val="000000"/>
          <w:spacing w:val="0"/>
          <w:w w:val="100"/>
          <w:position w:val="0"/>
          <w:sz w:val="18"/>
          <w:szCs w:val="18"/>
          <w:shd w:val="clear" w:color="auto" w:fill="auto"/>
          <w:lang w:val="fr-FR" w:eastAsia="fr-FR" w:bidi="fr-FR"/>
        </w:rPr>
        <w:t>"=A—(Ritz).</w:t>
      </w:r>
    </w:p>
    <w:p>
      <w:pPr>
        <w:pStyle w:val="Style3"/>
        <w:keepNext w:val="0"/>
        <w:keepLines w:val="0"/>
        <w:widowControl w:val="0"/>
        <w:shd w:val="clear" w:color="auto" w:fill="auto"/>
        <w:tabs>
          <w:tab w:pos="532"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(5)</w:t>
        <w:tab/>
      </w:r>
      <w:r>
        <w:rPr>
          <w:color w:val="000000"/>
          <w:spacing w:val="0"/>
          <w:w w:val="100"/>
          <w:position w:val="0"/>
          <w:sz w:val="18"/>
          <w:szCs w:val="18"/>
          <w:shd w:val="clear" w:color="auto" w:fill="auto"/>
          <w:lang w:val="de-DE" w:eastAsia="de-DE" w:bidi="de-DE"/>
        </w:rPr>
        <w:t>«=A-</w:t>
      </w:r>
      <w:r>
        <w:rPr>
          <w:color w:val="000000"/>
          <w:spacing w:val="0"/>
          <w:w w:val="100"/>
          <w:position w:val="0"/>
          <w:sz w:val="18"/>
          <w:szCs w:val="18"/>
          <w:shd w:val="clear" w:color="auto" w:fill="auto"/>
          <w:vertAlign w:val="subscript"/>
          <w:lang w:val="de-DE" w:eastAsia="de-DE" w:bidi="de-DE"/>
        </w:rPr>
        <w:t>(</w:t>
      </w:r>
      <w:r>
        <w:rPr>
          <w:color w:val="000000"/>
          <w:spacing w:val="0"/>
          <w:w w:val="100"/>
          <w:position w:val="0"/>
          <w:sz w:val="18"/>
          <w:szCs w:val="18"/>
          <w:shd w:val="clear" w:color="auto" w:fill="auto"/>
          <w:lang w:val="de-DE" w:eastAsia="de-DE" w:bidi="de-DE"/>
        </w:rPr>
        <w:t>^</w:t>
      </w:r>
      <w:r>
        <w:rPr>
          <w:color w:val="000000"/>
          <w:spacing w:val="0"/>
          <w:w w:val="100"/>
          <w:position w:val="0"/>
          <w:sz w:val="18"/>
          <w:szCs w:val="18"/>
          <w:shd w:val="clear" w:color="auto" w:fill="auto"/>
          <w:vertAlign w:val="subscript"/>
          <w:lang w:val="de-DE" w:eastAsia="de-DE" w:bidi="de-DE"/>
        </w:rPr>
        <w:t>+</w:t>
      </w:r>
      <w:r>
        <w:rPr>
          <w:color w:val="000000"/>
          <w:spacing w:val="0"/>
          <w:w w:val="100"/>
          <w:position w:val="0"/>
          <w:sz w:val="18"/>
          <w:szCs w:val="18"/>
          <w:shd w:val="clear" w:color="auto" w:fill="auto"/>
          <w:lang w:val="de-DE" w:eastAsia="de-DE" w:bidi="de-DE"/>
        </w:rPr>
        <w:t>^</w:t>
      </w:r>
      <w:r>
        <w:rPr>
          <w:color w:val="000000"/>
          <w:spacing w:val="0"/>
          <w:w w:val="100"/>
          <w:position w:val="0"/>
          <w:sz w:val="18"/>
          <w:szCs w:val="18"/>
          <w:shd w:val="clear" w:color="auto" w:fill="auto"/>
          <w:vertAlign w:val="subscript"/>
          <w:lang w:val="de-DE" w:eastAsia="de-DE" w:bidi="de-DE"/>
        </w:rPr>
        <w:t>g/ä</w:t>
      </w:r>
      <w:r>
        <w:rPr>
          <w:color w:val="000000"/>
          <w:spacing w:val="0"/>
          <w:w w:val="100"/>
          <w:position w:val="0"/>
          <w:sz w:val="18"/>
          <w:szCs w:val="18"/>
          <w:shd w:val="clear" w:color="auto" w:fill="auto"/>
          <w:lang w:val="de-DE" w:eastAsia="de-DE" w:bidi="de-DE"/>
        </w:rPr>
        <w:t>-</w:t>
      </w:r>
      <w:r>
        <w:rPr>
          <w:color w:val="000000"/>
          <w:spacing w:val="0"/>
          <w:w w:val="100"/>
          <w:position w:val="0"/>
          <w:sz w:val="18"/>
          <w:szCs w:val="18"/>
          <w:shd w:val="clear" w:color="auto" w:fill="auto"/>
          <w:vertAlign w:val="subscript"/>
          <w:lang w:val="de-DE" w:eastAsia="de-DE" w:bidi="de-DE"/>
        </w:rPr>
        <w:t>)a</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(Hicks).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all </w:t>
      </w:r>
      <w:r>
        <w:rPr>
          <w:color w:val="000000"/>
          <w:spacing w:val="0"/>
          <w:w w:val="100"/>
          <w:position w:val="0"/>
          <w:sz w:val="18"/>
          <w:szCs w:val="18"/>
          <w:shd w:val="clear" w:color="auto" w:fill="auto"/>
          <w:lang w:val="fr-FR" w:eastAsia="fr-FR" w:bidi="fr-FR"/>
        </w:rPr>
        <w:t xml:space="preserve">cases s </w:t>
      </w:r>
      <w:r>
        <w:rPr>
          <w:color w:val="000000"/>
          <w:spacing w:val="0"/>
          <w:w w:val="100"/>
          <w:position w:val="0"/>
          <w:sz w:val="18"/>
          <w:szCs w:val="18"/>
          <w:shd w:val="clear" w:color="auto" w:fill="auto"/>
          <w:lang w:val="en-US" w:eastAsia="en-US" w:bidi="en-US"/>
        </w:rPr>
        <w:t xml:space="preserve">represents the </w:t>
      </w:r>
      <w:r>
        <w:rPr>
          <w:color w:val="000000"/>
          <w:spacing w:val="0"/>
          <w:w w:val="100"/>
          <w:position w:val="0"/>
          <w:sz w:val="18"/>
          <w:szCs w:val="18"/>
          <w:shd w:val="clear" w:color="auto" w:fill="auto"/>
          <w:lang w:val="fr-FR" w:eastAsia="fr-FR" w:bidi="fr-FR"/>
        </w:rPr>
        <w:t xml:space="preserve">succession </w:t>
      </w:r>
      <w:r>
        <w:rPr>
          <w:color w:val="000000"/>
          <w:spacing w:val="0"/>
          <w:w w:val="100"/>
          <w:position w:val="0"/>
          <w:sz w:val="18"/>
          <w:szCs w:val="18"/>
          <w:shd w:val="clear" w:color="auto" w:fill="auto"/>
          <w:lang w:val="en-US" w:eastAsia="en-US" w:bidi="en-US"/>
        </w:rPr>
        <w:t xml:space="preserve">of integer numbers. In the last case we must put for </w:t>
      </w:r>
      <w:r>
        <w:rPr>
          <w:i/>
          <w:iCs/>
          <w:color w:val="000000"/>
          <w:spacing w:val="0"/>
          <w:w w:val="100"/>
          <w:position w:val="0"/>
          <w:sz w:val="17"/>
          <w:szCs w:val="17"/>
          <w:shd w:val="clear" w:color="auto" w:fill="auto"/>
          <w:lang w:val="en-US" w:eastAsia="en-US" w:bidi="en-US"/>
        </w:rPr>
        <w:t>r</w:t>
      </w:r>
      <w:r>
        <w:rPr>
          <w:color w:val="000000"/>
          <w:spacing w:val="0"/>
          <w:w w:val="100"/>
          <w:position w:val="0"/>
          <w:sz w:val="18"/>
          <w:szCs w:val="18"/>
          <w:shd w:val="clear" w:color="auto" w:fill="auto"/>
          <w:lang w:val="en-US" w:eastAsia="en-US" w:bidi="en-US"/>
        </w:rPr>
        <w:t xml:space="preserve"> either s or s+</w:t>
      </w:r>
      <w:r>
        <w:rPr>
          <w:color w:val="000000"/>
          <w:spacing w:val="0"/>
          <w:w w:val="100"/>
          <w:position w:val="0"/>
          <w:sz w:val="18"/>
          <w:szCs w:val="18"/>
          <w:shd w:val="clear" w:color="auto" w:fill="auto"/>
          <w:lang w:val="en-US" w:eastAsia="en-US" w:bidi="en-US"/>
        </w:rPr>
        <w:t>½</w:t>
      </w:r>
      <w:r>
        <w:rPr>
          <w:color w:val="000000"/>
          <w:spacing w:val="0"/>
          <w:w w:val="100"/>
          <w:position w:val="0"/>
          <w:sz w:val="18"/>
          <w:szCs w:val="18"/>
          <w:shd w:val="clear" w:color="auto" w:fill="auto"/>
          <w:lang w:val="en-US" w:eastAsia="en-US" w:bidi="en-US"/>
        </w:rPr>
        <w:t xml:space="preserve"> according to the nature of the series, as will be explained further on. The first of the forms which contains three disposable constants did good service in the hands of their authors, but breaks down in important cases when odd powers of s h</w:t>
      </w:r>
      <w:r>
        <w:rPr>
          <w:color w:val="000000"/>
          <w:spacing w:val="0"/>
          <w:w w:val="100"/>
          <w:position w:val="0"/>
          <w:sz w:val="18"/>
          <w:szCs w:val="18"/>
          <w:shd w:val="clear" w:color="auto" w:fill="auto"/>
          <w:lang w:val="fr-FR" w:eastAsia="fr-FR" w:bidi="fr-FR"/>
        </w:rPr>
        <w:t xml:space="preserve">ave </w:t>
      </w:r>
      <w:r>
        <w:rPr>
          <w:color w:val="000000"/>
          <w:spacing w:val="0"/>
          <w:w w:val="100"/>
          <w:position w:val="0"/>
          <w:sz w:val="18"/>
          <w:szCs w:val="18"/>
          <w:shd w:val="clear" w:color="auto" w:fill="auto"/>
          <w:lang w:val="en-US" w:eastAsia="en-US" w:bidi="en-US"/>
        </w:rPr>
        <w:t>to be introduced in addition to the even powers. The second form contains two or three constants according as N is taken to have the same value for all elements or not. Rydberg favours the former view, but he does not attempt to obtain any very close approximation between the observed and calculated values of the fre- quencies. Equation (3), which E. C. Pickering@@</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used in a special case, presently to be referred to, was put into a more general form by Thiele,@@</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who, however, assumes N to have the same value for all spectra, and not obtaining sufficient agreement, rejects the formula. J. Halm@@</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subsequently showed that if N may differ in different cases, the equation is a considerable improvement on Rydberg’s. It then possesses four adjustable constants, and more can therefore be expected from it. All these forms are put into the shade by that which was introduced by Ritz, led thereto apparently by theoretical considerations. As he takes N to be strictly the same for all elements the equation has only three disposable constants A, </w:t>
      </w:r>
      <w:r>
        <w:rPr>
          <w:i/>
          <w:iCs/>
          <w:color w:val="000000"/>
          <w:spacing w:val="0"/>
          <w:w w:val="100"/>
          <w:position w:val="0"/>
          <w:sz w:val="17"/>
          <w:szCs w:val="17"/>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b.</w:t>
      </w:r>
      <w:r>
        <w:rPr>
          <w:color w:val="000000"/>
          <w:spacing w:val="0"/>
          <w:w w:val="100"/>
          <w:position w:val="0"/>
          <w:sz w:val="18"/>
          <w:szCs w:val="18"/>
          <w:shd w:val="clear" w:color="auto" w:fill="auto"/>
          <w:lang w:val="en-US" w:eastAsia="en-US" w:bidi="en-US"/>
        </w:rPr>
        <w:t xml:space="preserve"> It is found to be very markedly superior to the other equations. Its chief advantage appears, however, when the relationship between different series of the same element is taken into account. We therefore turn our attention to this relationship.</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the case of those elements in which we can represent the spectrum most completely by a number of series, it is generally found that they occur in groups of three which are closely related to each other. They were called by H. Kayser and F. </w:t>
      </w:r>
      <w:r>
        <w:rPr>
          <w:color w:val="000000"/>
          <w:spacing w:val="0"/>
          <w:w w:val="100"/>
          <w:position w:val="0"/>
          <w:sz w:val="18"/>
          <w:szCs w:val="18"/>
          <w:shd w:val="clear" w:color="auto" w:fill="auto"/>
          <w:lang w:val="de-DE" w:eastAsia="de-DE" w:bidi="de-DE"/>
        </w:rPr>
        <w:t xml:space="preserve">Paschen </w:t>
      </w:r>
      <w:r>
        <w:rPr>
          <w:color w:val="000000"/>
          <w:spacing w:val="0"/>
          <w:w w:val="100"/>
          <w:position w:val="0"/>
          <w:sz w:val="18"/>
          <w:szCs w:val="18"/>
          <w:shd w:val="clear" w:color="auto" w:fill="auto"/>
          <w:lang w:val="en-US" w:eastAsia="en-US" w:bidi="en-US"/>
        </w:rPr>
        <w:t>“ Haupt serie,” “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 xml:space="preserve">Nebenserie,” “ 2nd Nebenserie,” which is commonly translated “ Principal series,” “First subordinate series,” “ Second subordinate series.” These names become inconvenient when, as is generally the case, each of the series splits into groups of two or three, and we have to speak of the second or third number of the first or second subordinate series. Moreover, a false impression is conveyed by the nomenclature, as the second subordinate series is much more closely related to the principal series than the first subordinate series. The present writer, therefore, in his </w:t>
      </w:r>
      <w:r>
        <w:rPr>
          <w:i/>
          <w:iCs/>
          <w:color w:val="000000"/>
          <w:spacing w:val="0"/>
          <w:w w:val="100"/>
          <w:position w:val="0"/>
          <w:sz w:val="17"/>
          <w:szCs w:val="17"/>
          <w:shd w:val="clear" w:color="auto" w:fill="auto"/>
          <w:lang w:val="en-US" w:eastAsia="en-US" w:bidi="en-US"/>
        </w:rPr>
        <w:t>Theory of Optics,</w:t>
      </w:r>
      <w:r>
        <w:rPr>
          <w:color w:val="000000"/>
          <w:spacing w:val="0"/>
          <w:w w:val="100"/>
          <w:position w:val="0"/>
          <w:sz w:val="18"/>
          <w:szCs w:val="18"/>
          <w:shd w:val="clear" w:color="auto" w:fill="auto"/>
          <w:lang w:val="en-US" w:eastAsia="en-US" w:bidi="en-US"/>
        </w:rPr>
        <w:t xml:space="preserve"> adopted different names, and called the series respectively the “ Trunk,” the “ Main Branch ” and the “ Side Branch,” the main branch being identical with the second subordinate series; the limit of frequency for high values of </w:t>
      </w:r>
      <w:r>
        <w:rPr>
          <w:i/>
          <w:iCs/>
          <w:color w:val="00000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lang w:val="en-US" w:eastAsia="en-US" w:bidi="en-US"/>
        </w:rPr>
        <w:t xml:space="preserve"> is called the “ root ” of the series, and it is found in all cases that the two branches have a common root at some point in the trunk. According to an important law discovered by Rydberg and shortly afterwards independently by the writer, the frequency of the common root of the two branches is obtained by subtracting the frequency of the root of the trunk from that of its least refrangible and strongest member. In the spectra of the alkali metals each line of the trunk is a doublet, and we may speak of a twin trunk springing out of the same root. In the same spectra the lines belonging to the two branches are also doublets. According to the above law the least refrangible member of the trunk being double, there must be two roots for the branches, and this is found to bé the case. In fact the lines of each branch are also doublets, with common difference of frequency. There are, therefore, two main branches and two side branches, but these arc not twins springing out of the same root, but parallel branches springing out of different though closely adjacent roots. It will also be noticed that the least refrangible of the doublets of the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branches must according to the above law correspond to the most refrangible of the doublets of the trunk, and if the components of the doublets have different intensities the stronger components must lie on different sides in the trunk and branch series. This is confirmed by observation. Rydberg discovered a second relationship, which, however, involving the assumed equation connecting the different lines, cannot be tested directly as long as these equations are only approximate. On the other hand the law, once shown to hold approximately, may be used to test the sufficiency of a particular form of equation. These forms all agree in making the frequency negative when s falls below a certain value </w:t>
      </w:r>
      <w:r>
        <w:rPr>
          <w:i/>
          <w:iCs/>
          <w:color w:val="000000"/>
          <w:spacing w:val="0"/>
          <w:w w:val="100"/>
          <w:position w:val="0"/>
          <w:sz w:val="17"/>
          <w:szCs w:val="17"/>
          <w:shd w:val="clear" w:color="auto" w:fill="auto"/>
          <w:lang w:val="en-US" w:eastAsia="en-US" w:bidi="en-US"/>
        </w:rPr>
        <w:t>sρ.</w:t>
      </w:r>
      <w:r>
        <w:rPr>
          <w:color w:val="000000"/>
          <w:spacing w:val="0"/>
          <w:w w:val="100"/>
          <w:position w:val="0"/>
          <w:sz w:val="18"/>
          <w:szCs w:val="18"/>
          <w:shd w:val="clear" w:color="auto" w:fill="auto"/>
          <w:lang w:val="en-US" w:eastAsia="en-US" w:bidi="en-US"/>
        </w:rPr>
        <w:t xml:space="preserve"> Rydberg’s second law states that if the main branch series is taken, the numerical value of </w:t>
      </w:r>
      <w:r>
        <w:rPr>
          <w:i/>
          <w:iCs/>
          <w:color w:val="000000"/>
          <w:spacing w:val="0"/>
          <w:w w:val="100"/>
          <w:position w:val="0"/>
          <w:sz w:val="18"/>
          <w:szCs w:val="18"/>
          <w:shd w:val="clear" w:color="auto" w:fill="auto"/>
          <w:lang w:val="en-US" w:eastAsia="en-US" w:bidi="en-US"/>
        </w:rPr>
        <w:t>n</w:t>
      </w:r>
      <w:r>
        <w:rPr>
          <w:i/>
          <w:iCs/>
          <w:color w:val="000000"/>
          <w:spacing w:val="0"/>
          <w:w w:val="100"/>
          <w:position w:val="0"/>
          <w:sz w:val="18"/>
          <w:szCs w:val="18"/>
          <w:shd w:val="clear" w:color="auto" w:fill="auto"/>
          <w:vertAlign w:val="subscript"/>
          <w:lang w:val="en-US" w:eastAsia="en-US" w:bidi="en-US"/>
        </w:rPr>
        <w:t>p</w:t>
      </w:r>
      <w:r>
        <w:rPr>
          <w:color w:val="000000"/>
          <w:spacing w:val="0"/>
          <w:w w:val="100"/>
          <w:position w:val="0"/>
          <w:sz w:val="18"/>
          <w:szCs w:val="18"/>
          <w:shd w:val="clear" w:color="auto" w:fill="auto"/>
          <w:lang w:val="en-US" w:eastAsia="en-US" w:bidi="en-US"/>
        </w:rPr>
        <w:t xml:space="preserve">-1 corresponding to </w:t>
      </w:r>
      <w:r>
        <w:rPr>
          <w:i/>
          <w:iCs/>
          <w:color w:val="000000"/>
          <w:spacing w:val="0"/>
          <w:w w:val="100"/>
          <w:position w:val="0"/>
          <w:sz w:val="17"/>
          <w:szCs w:val="17"/>
          <w:shd w:val="clear" w:color="auto" w:fill="auto"/>
          <w:lang w:val="en-US" w:eastAsia="en-US" w:bidi="en-US"/>
        </w:rPr>
        <w:t>s</w:t>
      </w:r>
      <w:r>
        <w:rPr>
          <w:i/>
          <w:iCs/>
          <w:color w:val="000000"/>
          <w:spacing w:val="0"/>
          <w:w w:val="100"/>
          <w:position w:val="0"/>
          <w:sz w:val="17"/>
          <w:szCs w:val="17"/>
          <w:shd w:val="clear" w:color="auto" w:fill="auto"/>
          <w:vertAlign w:val="subscript"/>
          <w:lang w:val="en-US" w:eastAsia="en-US" w:bidi="en-US"/>
        </w:rPr>
        <w:t>p</w:t>
      </w:r>
      <w:r>
        <w:rPr>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 xml:space="preserve"> is equal to the frequency of the least refrangible member of the trunk series.</w:t>
      </w:r>
    </w:p>
    <w:p>
      <w:pPr>
        <w:pStyle w:val="Style3"/>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The two laws are best understood by putting the equations in the form given them by Rydberg.</w:t>
      </w:r>
    </w:p>
    <w:p>
      <w:pPr>
        <w:pStyle w:val="Style3"/>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For the trunk series write</w:t>
      </w:r>
    </w:p>
    <w:p>
      <w:pPr>
        <w:pStyle w:val="Style9"/>
        <w:keepNext w:val="0"/>
        <w:keepLines w:val="0"/>
        <w:widowControl w:val="0"/>
        <w:shd w:val="clear" w:color="auto" w:fill="auto"/>
        <w:tabs>
          <w:tab w:pos="3005" w:val="left"/>
        </w:tabs>
        <w:bidi w:val="0"/>
        <w:spacing w:line="228" w:lineRule="auto"/>
        <w:ind w:left="0" w:firstLine="0"/>
        <w:jc w:val="left"/>
      </w:pPr>
      <w:r>
        <w:rPr>
          <w:rFonts w:ascii="Cambria" w:eastAsia="Cambria" w:hAnsi="Cambria" w:cs="Cambria"/>
          <w:b w:val="0"/>
          <w:bCs w:val="0"/>
          <w:i/>
          <w:iC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w:t>
        <w:tab/>
        <w:t>1</w:t>
      </w:r>
    </w:p>
    <w:p>
      <w:pPr>
        <w:pStyle w:val="Style3"/>
        <w:keepNext w:val="0"/>
        <w:keepLines w:val="0"/>
        <w:widowControl w:val="0"/>
        <w:shd w:val="clear" w:color="auto" w:fill="auto"/>
        <w:bidi w:val="0"/>
        <w:spacing w:line="190" w:lineRule="auto"/>
        <w:ind w:left="0" w:firstLine="0"/>
        <w:jc w:val="left"/>
      </w:pPr>
      <w:r>
        <w:rPr>
          <w:smallCaps/>
          <w:color w:val="000000"/>
          <w:spacing w:val="0"/>
          <w:w w:val="100"/>
          <w:position w:val="0"/>
          <w:shd w:val="clear" w:color="auto" w:fill="auto"/>
          <w:lang w:val="en-US" w:eastAsia="en-US" w:bidi="en-US"/>
        </w:rPr>
        <w:t>(5÷m</w:t>
      </w:r>
      <w:r>
        <w:rPr>
          <w:smallCaps/>
          <w:color w:val="000000"/>
          <w:spacing w:val="0"/>
          <w:w w:val="100"/>
          <w:position w:val="0"/>
          <w:shd w:val="clear" w:color="auto" w:fill="auto"/>
          <w:vertAlign w:val="superscript"/>
          <w:lang w:val="en-US" w:eastAsia="en-US" w:bidi="en-US"/>
        </w:rPr>
        <w:t>2</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and for the main branch series</w:t>
      </w:r>
    </w:p>
    <w:p>
      <w:pPr>
        <w:pStyle w:val="Style9"/>
        <w:keepNext w:val="0"/>
        <w:keepLines w:val="0"/>
        <w:widowControl w:val="0"/>
        <w:shd w:val="clear" w:color="auto" w:fill="auto"/>
        <w:tabs>
          <w:tab w:pos="2989" w:val="left"/>
        </w:tabs>
        <w:bidi w:val="0"/>
        <w:spacing w:line="240" w:lineRule="auto"/>
        <w:ind w:left="0" w:firstLine="0"/>
        <w:jc w:val="left"/>
      </w:pPr>
      <w:r>
        <w:rPr>
          <w:rFonts w:ascii="Cambria" w:eastAsia="Cambria" w:hAnsi="Cambria" w:cs="Cambria"/>
          <w:b w:val="0"/>
          <w:bCs w:val="0"/>
          <w:i/>
          <w:iCs/>
          <w:color w:val="000000"/>
          <w:spacing w:val="0"/>
          <w:w w:val="100"/>
          <w:position w:val="0"/>
          <w:sz w:val="17"/>
          <w:szCs w:val="17"/>
          <w:shd w:val="clear" w:color="auto" w:fill="auto"/>
          <w:lang w:val="en-US" w:eastAsia="en-US" w:bidi="en-US"/>
        </w:rPr>
        <w:t>η</w:t>
      </w:r>
      <w:r>
        <w:rPr>
          <w:rFonts w:ascii="Cambria" w:eastAsia="Cambria" w:hAnsi="Cambria" w:cs="Cambria"/>
          <w:b w:val="0"/>
          <w:bCs w:val="0"/>
          <w:i/>
          <w:iCs/>
          <w:color w:val="000000"/>
          <w:spacing w:val="0"/>
          <w:w w:val="100"/>
          <w:position w:val="0"/>
          <w:sz w:val="17"/>
          <w:szCs w:val="17"/>
          <w:shd w:val="clear" w:color="auto" w:fill="auto"/>
          <w:vertAlign w:val="superscript"/>
          <w:lang w:val="en-US" w:eastAsia="en-US" w:bidi="en-US"/>
        </w:rPr>
        <w:t>i</w:t>
      </w:r>
      <w:r>
        <w:rPr>
          <w:rFonts w:ascii="Cambria" w:eastAsia="Cambria" w:hAnsi="Cambria" w:cs="Cambria"/>
          <w:b w:val="0"/>
          <w:bCs w:val="0"/>
          <w:i/>
          <w:iCs/>
          <w:color w:val="000000"/>
          <w:spacing w:val="0"/>
          <w:w w:val="100"/>
          <w:position w:val="0"/>
          <w:sz w:val="17"/>
          <w:szCs w:val="17"/>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1</w:t>
        <w:tab/>
        <w:t>I</w:t>
      </w:r>
    </w:p>
    <w:p>
      <w:pPr>
        <w:pStyle w:val="Style3"/>
        <w:keepNext w:val="0"/>
        <w:keepLines w:val="0"/>
        <w:widowControl w:val="0"/>
        <w:shd w:val="clear" w:color="auto" w:fill="auto"/>
        <w:tabs>
          <w:tab w:pos="2744" w:val="left"/>
        </w:tabs>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N" </w:t>
      </w:r>
      <w:r>
        <w:rPr>
          <w:smallCaps/>
          <w:color w:val="000000"/>
          <w:spacing w:val="0"/>
          <w:w w:val="100"/>
          <w:position w:val="0"/>
          <w:sz w:val="17"/>
          <w:szCs w:val="17"/>
          <w:shd w:val="clear" w:color="auto" w:fill="auto"/>
          <w:lang w:val="en-US" w:eastAsia="en-US" w:bidi="en-US"/>
        </w:rPr>
        <w:t>(1+m)</w:t>
      </w:r>
      <w:r>
        <w:rPr>
          <w:smallCaps/>
          <w:color w:val="000000"/>
          <w:spacing w:val="0"/>
          <w:w w:val="100"/>
          <w:position w:val="0"/>
          <w:sz w:val="17"/>
          <w:szCs w:val="17"/>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ab/>
        <w:t>(5÷σ)</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Here </w:t>
      </w:r>
      <w:r>
        <w:rPr>
          <w:i/>
          <w:iCs/>
          <w:color w:val="000000"/>
          <w:spacing w:val="0"/>
          <w:w w:val="100"/>
          <w:position w:val="0"/>
          <w:sz w:val="17"/>
          <w:szCs w:val="17"/>
          <w:shd w:val="clear" w:color="auto" w:fill="auto"/>
          <w:lang w:val="en-US" w:eastAsia="en-US" w:bidi="en-US"/>
        </w:rPr>
        <w:t>μ</w:t>
      </w:r>
      <w:r>
        <w:rPr>
          <w:i/>
          <w:iCs/>
          <w:color w:val="000000"/>
          <w:spacing w:val="0"/>
          <w:w w:val="100"/>
          <w:position w:val="0"/>
          <w:sz w:val="17"/>
          <w:szCs w:val="17"/>
          <w:shd w:val="clear" w:color="auto" w:fill="auto"/>
          <w:vertAlign w:val="subscript"/>
          <w:lang w:val="en-US" w:eastAsia="en-US" w:bidi="en-US"/>
        </w:rPr>
        <w:t>f</w:t>
      </w:r>
      <w:r>
        <w:rPr>
          <w:i/>
          <w:iCs/>
          <w:color w:val="000000"/>
          <w:spacing w:val="0"/>
          <w:w w:val="100"/>
          <w:position w:val="0"/>
          <w:sz w:val="17"/>
          <w:szCs w:val="17"/>
          <w:shd w:val="clear" w:color="auto" w:fill="auto"/>
          <w:lang w:val="en-US" w:eastAsia="en-US" w:bidi="en-US"/>
        </w:rPr>
        <w:t xml:space="preserve"> σ</w:t>
      </w:r>
      <w:r>
        <w:rPr>
          <w:color w:val="000000"/>
          <w:spacing w:val="0"/>
          <w:w w:val="100"/>
          <w:position w:val="0"/>
          <w:sz w:val="18"/>
          <w:szCs w:val="18"/>
          <w:shd w:val="clear" w:color="auto" w:fill="auto"/>
          <w:lang w:val="en-US" w:eastAsia="en-US" w:bidi="en-US"/>
        </w:rPr>
        <w:t xml:space="preserve"> and N are constants, while 5 as before is an integer number.</w:t>
      </w:r>
    </w:p>
    <w:p>
      <w:pPr>
        <w:pStyle w:val="Style3"/>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The difference between the frequencies of the roots (s = ∞) is given by</w:t>
      </w:r>
    </w:p>
    <w:p>
      <w:pPr>
        <w:pStyle w:val="Style3"/>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vertAlign w:val="superscript"/>
          <w:lang w:val="en-US" w:eastAsia="en-US" w:bidi="en-US"/>
        </w:rPr>
        <w:t>w</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perscript"/>
          <w:lang w:val="en-US" w:eastAsia="en-US" w:bidi="en-US"/>
        </w:rPr>
        <w:t>η</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x =N</w:t>
      </w:r>
      <w:r>
        <w:rPr>
          <w:color w:val="000000"/>
          <w:spacing w:val="0"/>
          <w:w w:val="100"/>
          <w:position w:val="0"/>
          <w:sz w:val="18"/>
          <w:szCs w:val="18"/>
          <w:shd w:val="clear" w:color="auto" w:fill="auto"/>
          <w:lang w:val="en-US" w:eastAsia="en-US" w:bidi="en-US"/>
        </w:rPr>
        <w:t xml:space="preserve"> [(1 +σ)</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^(1 +μ)</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l </w:t>
      </w:r>
      <w:r>
        <w:rPr>
          <w:color w:val="000000"/>
          <w:spacing w:val="0"/>
          <w:w w:val="100"/>
          <w:position w:val="0"/>
          <w:sz w:val="18"/>
          <w:szCs w:val="18"/>
          <w:shd w:val="clear" w:color="auto" w:fill="auto"/>
          <w:vertAlign w:val="superscript"/>
          <w:lang w:val="en-US" w:eastAsia="en-US" w:bidi="en-US"/>
        </w:rPr>
        <w:t>=n</w:t>
      </w:r>
      <w:r>
        <w:rPr>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This is the first law.</w:t>
      </w:r>
    </w:p>
    <w:p>
      <w:pPr>
        <w:pStyle w:val="Style3"/>
        <w:keepNext w:val="0"/>
        <w:keepLines w:val="0"/>
        <w:widowControl w:val="0"/>
        <w:shd w:val="clear" w:color="auto" w:fill="auto"/>
        <w:bidi w:val="0"/>
        <w:spacing w:line="230" w:lineRule="auto"/>
        <w:ind w:left="360" w:hanging="360"/>
        <w:jc w:val="left"/>
        <w:rPr>
          <w:sz w:val="18"/>
          <w:szCs w:val="18"/>
        </w:rPr>
      </w:pPr>
      <w:r>
        <w:rPr>
          <w:color w:val="000000"/>
          <w:spacing w:val="0"/>
          <w:w w:val="100"/>
          <w:position w:val="0"/>
          <w:sz w:val="18"/>
          <w:szCs w:val="18"/>
          <w:shd w:val="clear" w:color="auto" w:fill="auto"/>
          <w:lang w:val="en-US" w:eastAsia="en-US" w:bidi="en-US"/>
        </w:rPr>
        <w:t xml:space="preserve">If further in the two equations we put s = 1, we obtain: </w:t>
      </w:r>
      <w:r>
        <w:rPr>
          <w:i/>
          <w:iCs/>
          <w:color w:val="000000"/>
          <w:spacing w:val="0"/>
          <w:w w:val="100"/>
          <w:position w:val="0"/>
          <w:sz w:val="17"/>
          <w:szCs w:val="17"/>
          <w:shd w:val="clear" w:color="auto" w:fill="auto"/>
          <w:lang w:val="en-US" w:eastAsia="en-US" w:bidi="en-US"/>
        </w:rPr>
        <w:t>n</w:t>
      </w:r>
      <w:r>
        <w:rPr>
          <w:i/>
          <w:iCs/>
          <w:color w:val="000000"/>
          <w:spacing w:val="0"/>
          <w:w w:val="100"/>
          <w:position w:val="0"/>
          <w:sz w:val="17"/>
          <w:szCs w:val="17"/>
          <w:shd w:val="clear" w:color="auto" w:fill="auto"/>
          <w:vertAlign w:val="subscript"/>
          <w:lang w:val="en-US" w:eastAsia="en-US" w:bidi="en-US"/>
        </w:rPr>
        <w:t>1</w:t>
      </w:r>
      <w:r>
        <w:rPr>
          <w:i/>
          <w:iCs/>
          <w:color w:val="000000"/>
          <w:spacing w:val="0"/>
          <w:w w:val="100"/>
          <w:position w:val="0"/>
          <w:sz w:val="17"/>
          <w:szCs w:val="17"/>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 n</w:t>
      </w: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78" w:lineRule="auto"/>
        <w:ind w:left="0" w:firstLine="0"/>
        <w:jc w:val="left"/>
        <w:rPr>
          <w:sz w:val="18"/>
          <w:szCs w:val="18"/>
        </w:rPr>
      </w:pPr>
      <w:r>
        <w:rPr>
          <w:color w:val="000000"/>
          <w:spacing w:val="0"/>
          <w:w w:val="100"/>
          <w:position w:val="0"/>
          <w:sz w:val="18"/>
          <w:szCs w:val="18"/>
          <w:shd w:val="clear" w:color="auto" w:fill="auto"/>
          <w:lang w:val="en-US" w:eastAsia="en-US" w:bidi="en-US"/>
        </w:rPr>
        <w:t>This is the second law.</w:t>
      </w:r>
    </w:p>
    <w:p>
      <w:pPr>
        <w:pStyle w:val="Style3"/>
        <w:keepNext w:val="0"/>
        <w:keepLines w:val="0"/>
        <w:widowControl w:val="0"/>
        <w:shd w:val="clear" w:color="auto" w:fill="auto"/>
        <w:bidi w:val="0"/>
        <w:spacing w:line="178" w:lineRule="auto"/>
        <w:ind w:left="0" w:firstLine="360"/>
        <w:jc w:val="left"/>
        <w:rPr>
          <w:sz w:val="18"/>
          <w:szCs w:val="18"/>
        </w:rPr>
      </w:pPr>
      <w:r>
        <w:rPr>
          <w:color w:val="000000"/>
          <w:spacing w:val="0"/>
          <w:w w:val="100"/>
          <w:position w:val="0"/>
          <w:sz w:val="18"/>
          <w:szCs w:val="18"/>
          <w:shd w:val="clear" w:color="auto" w:fill="auto"/>
          <w:lang w:val="en-US" w:eastAsia="en-US" w:bidi="en-US"/>
        </w:rPr>
        <w:t>As has already been mentioned, the law is only verified very roughly, if Rydberg’s form of equation is taken as correctly representing the series. The fact that the addition of the term intro</w:t>
        <w:softHyphen/>
        <w:t>duced by Ritz not only gives a more satisfactory representation of each series, but verifies the above relationship with a much closer degree of approximation, proves that Ritz’s equation forms a marked step in the right direction. According to him, the following equations represent the connexion between the lines of the three related series.</w:t>
      </w:r>
    </w:p>
    <w:p>
      <w:pPr>
        <w:pStyle w:val="Style3"/>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Trunk series: </w:t>
      </w:r>
      <w:r>
        <w:rPr>
          <w:color w:val="000000"/>
          <w:spacing w:val="0"/>
          <w:w w:val="100"/>
          <w:position w:val="0"/>
          <w:sz w:val="18"/>
          <w:szCs w:val="18"/>
          <w:shd w:val="clear" w:color="auto" w:fill="auto"/>
          <w:vertAlign w:val="superscript"/>
          <w:lang w:val="el-GR" w:eastAsia="el-GR" w:bidi="el-GR"/>
        </w:rPr>
        <w:t>Α</w:t>
      </w:r>
      <w:r>
        <w:rPr>
          <w:color w:val="000000"/>
          <w:spacing w:val="0"/>
          <w:w w:val="100"/>
          <w:position w:val="0"/>
          <w:sz w:val="18"/>
          <w:szCs w:val="18"/>
          <w:shd w:val="clear" w:color="auto" w:fill="auto"/>
          <w:lang w:val="el-GR" w:eastAsia="el-GR" w:bidi="el-GR"/>
        </w:rPr>
        <w:t>Κ“[«+αι+4/«*Ρ"[ι·5+α</w:t>
      </w:r>
      <w:r>
        <w:rPr>
          <w:color w:val="000000"/>
          <w:spacing w:val="0"/>
          <w:w w:val="100"/>
          <w:position w:val="0"/>
          <w:sz w:val="18"/>
          <w:szCs w:val="18"/>
          <w:shd w:val="clear" w:color="auto" w:fill="auto"/>
          <w:vertAlign w:val="superscript"/>
          <w:lang w:val="el-GR" w:eastAsia="el-GR" w:bidi="el-GR"/>
        </w:rPr>
        <w:t>χ</w:t>
      </w:r>
      <w:r>
        <w:rPr>
          <w:color w:val="000000"/>
          <w:spacing w:val="0"/>
          <w:w w:val="100"/>
          <w:position w:val="0"/>
          <w:sz w:val="18"/>
          <w:szCs w:val="18"/>
          <w:shd w:val="clear" w:color="auto" w:fill="auto"/>
          <w:lang w:val="el-GR" w:eastAsia="el-GR" w:bidi="el-GR"/>
        </w:rPr>
        <w:t>+*'/(ΐ·5)ψ’</w:t>
      </w:r>
    </w:p>
    <w:p>
      <w:pPr>
        <w:pStyle w:val="Style3"/>
        <w:keepNext w:val="0"/>
        <w:keepLines w:val="0"/>
        <w:widowControl w:val="0"/>
        <w:shd w:val="clear" w:color="auto" w:fill="auto"/>
        <w:tabs>
          <w:tab w:pos="2155" w:val="left"/>
        </w:tabs>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Main Branch Series:</w:t>
        <w:tab/>
        <w:t>=</w:t>
      </w:r>
    </w:p>
    <w:p>
      <w:pPr>
        <w:pStyle w:val="Style3"/>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Side Branch Senes: </w:t>
      </w:r>
      <w:r>
        <w:rPr>
          <w:color w:val="000000"/>
          <w:spacing w:val="0"/>
          <w:w w:val="100"/>
          <w:position w:val="0"/>
          <w:sz w:val="18"/>
          <w:szCs w:val="18"/>
          <w:shd w:val="clear" w:color="auto" w:fill="auto"/>
          <w:vertAlign w:val="superscript"/>
          <w:lang w:val="en-US" w:eastAsia="en-US" w:bidi="en-US"/>
        </w:rPr>
        <w:t>i</w:t>
      </w:r>
      <w:r>
        <w:rPr>
          <w:color w:val="000000"/>
          <w:spacing w:val="0"/>
          <w:w w:val="100"/>
          <w:position w:val="0"/>
          <w:sz w:val="18"/>
          <w:szCs w:val="18"/>
          <w:shd w:val="clear" w:color="auto" w:fill="auto"/>
          <w:lang w:val="en-US" w:eastAsia="en-US" w:bidi="en-US"/>
        </w:rPr>
        <w:t>-⅛^ = [</w:t>
      </w:r>
      <w:r>
        <w:rPr>
          <w:color w:val="000000"/>
          <w:spacing w:val="0"/>
          <w:w w:val="100"/>
          <w:position w:val="0"/>
          <w:sz w:val="18"/>
          <w:szCs w:val="18"/>
          <w:shd w:val="clear" w:color="auto" w:fill="auto"/>
          <w:vertAlign w:val="subscript"/>
          <w:lang w:val="en-US" w:eastAsia="en-US" w:bidi="en-US"/>
        </w:rPr>
        <w:t>2</w:t>
      </w:r>
      <w:r>
        <w:rPr>
          <w:color w:val="000000"/>
          <w:spacing w:val="0"/>
          <w:w w:val="100"/>
          <w:position w:val="0"/>
          <w:sz w:val="18"/>
          <w:szCs w:val="18"/>
          <w:shd w:val="clear" w:color="auto" w:fill="auto"/>
          <w:lang w:val="en-US" w:eastAsia="en-US" w:bidi="en-US"/>
        </w:rPr>
        <w:t>φ</w:t>
      </w:r>
      <w:r>
        <w:rPr>
          <w:color w:val="000000"/>
          <w:spacing w:val="0"/>
          <w:w w:val="100"/>
          <w:position w:val="0"/>
          <w:sz w:val="18"/>
          <w:szCs w:val="18"/>
          <w:shd w:val="clear" w:color="auto" w:fill="auto"/>
          <w:vertAlign w:val="subscript"/>
          <w:lang w:val="en-US" w:eastAsia="en-US" w:bidi="en-US"/>
        </w:rPr>
        <w:t>01+</w:t>
      </w:r>
      <w:r>
        <w:rPr>
          <w:color w:val="000000"/>
          <w:spacing w:val="0"/>
          <w:w w:val="100"/>
          <w:position w:val="0"/>
          <w:sz w:val="18"/>
          <w:szCs w:val="18"/>
          <w:shd w:val="clear" w:color="auto" w:fill="auto"/>
          <w:lang w:val="en-US" w:eastAsia="en-US" w:bidi="en-US"/>
        </w:rPr>
        <w:t>⅛∕</w:t>
      </w:r>
      <w:r>
        <w:rPr>
          <w:color w:val="000000"/>
          <w:spacing w:val="0"/>
          <w:w w:val="100"/>
          <w:position w:val="0"/>
          <w:sz w:val="18"/>
          <w:szCs w:val="18"/>
          <w:shd w:val="clear" w:color="auto" w:fill="auto"/>
          <w:vertAlign w:val="subscript"/>
          <w:lang w:val="en-US" w:eastAsia="en-US" w:bidi="en-US"/>
        </w:rPr>
        <w:t>2</w:t>
      </w:r>
      <w:r>
        <w:rPr>
          <w:color w:val="000000"/>
          <w:spacing w:val="0"/>
          <w:w w:val="100"/>
          <w:position w:val="0"/>
          <w:sz w:val="18"/>
          <w:szCs w:val="18"/>
          <w:shd w:val="clear" w:color="auto" w:fill="auto"/>
          <w:lang w:val="en-US" w:eastAsia="en-US" w:bidi="en-US"/>
        </w:rPr>
        <w:t>2p-[</w:t>
      </w:r>
      <w:r>
        <w:rPr>
          <w:color w:val="000000"/>
          <w:spacing w:val="0"/>
          <w:w w:val="100"/>
          <w:position w:val="0"/>
          <w:sz w:val="18"/>
          <w:szCs w:val="18"/>
          <w:shd w:val="clear" w:color="auto" w:fill="auto"/>
          <w:vertAlign w:val="subscript"/>
          <w:lang w:val="en-US" w:eastAsia="en-US" w:bidi="en-US"/>
        </w:rPr>
        <w:t>i+c+</w:t>
      </w:r>
      <w:r>
        <w:rPr>
          <w:color w:val="000000"/>
          <w:spacing w:val="0"/>
          <w:w w:val="100"/>
          <w:position w:val="0"/>
          <w:sz w:val="18"/>
          <w:szCs w:val="18"/>
          <w:shd w:val="clear" w:color="auto" w:fill="auto"/>
          <w:lang w:val="en-US" w:eastAsia="en-US" w:bidi="en-US"/>
        </w:rPr>
        <w:t>j∕</w:t>
      </w:r>
      <w:r>
        <w:rPr>
          <w:color w:val="000000"/>
          <w:spacing w:val="0"/>
          <w:w w:val="100"/>
          <w:position w:val="0"/>
          <w:sz w:val="18"/>
          <w:szCs w:val="18"/>
          <w:shd w:val="clear" w:color="auto" w:fill="auto"/>
          <w:vertAlign w:val="subscript"/>
          <w:lang w:val="en-US" w:eastAsia="en-US" w:bidi="en-US"/>
        </w:rPr>
        <w:t>s</w:t>
      </w:r>
      <w:r>
        <w:rPr>
          <w:color w:val="000000"/>
          <w:spacing w:val="0"/>
          <w:w w:val="100"/>
          <w:position w:val="0"/>
          <w:sz w:val="18"/>
          <w:szCs w:val="18"/>
          <w:shd w:val="clear" w:color="auto" w:fill="auto"/>
          <w:lang w:val="en-US" w:eastAsia="en-US" w:bidi="en-US"/>
        </w:rPr>
        <w:t>sp∙</w:t>
      </w:r>
    </w:p>
    <w:p>
      <w:pPr>
        <w:pStyle w:val="Style3"/>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Here 5 stands for an integer number beginning with 2 for the trunk and 3 for the main branch, and </w:t>
      </w:r>
      <w:r>
        <w:rPr>
          <w:i/>
          <w:iCs/>
          <w:color w:val="000000"/>
          <w:spacing w:val="0"/>
          <w:w w:val="100"/>
          <w:position w:val="0"/>
          <w:sz w:val="17"/>
          <w:szCs w:val="17"/>
          <w:shd w:val="clear" w:color="auto" w:fill="auto"/>
          <w:lang w:val="en-US" w:eastAsia="en-US" w:bidi="en-US"/>
        </w:rPr>
        <w:t>r</w:t>
      </w:r>
      <w:r>
        <w:rPr>
          <w:color w:val="000000"/>
          <w:spacing w:val="0"/>
          <w:w w:val="100"/>
          <w:position w:val="0"/>
          <w:sz w:val="18"/>
          <w:szCs w:val="18"/>
          <w:shd w:val="clear" w:color="auto" w:fill="auto"/>
          <w:lang w:val="en-US" w:eastAsia="en-US" w:bidi="en-US"/>
        </w:rPr>
        <w:t xml:space="preserve"> represents the </w:t>
      </w:r>
      <w:r>
        <w:rPr>
          <w:color w:val="000000"/>
          <w:spacing w:val="0"/>
          <w:w w:val="100"/>
          <w:position w:val="0"/>
          <w:sz w:val="18"/>
          <w:szCs w:val="18"/>
          <w:shd w:val="clear" w:color="auto" w:fill="auto"/>
          <w:lang w:val="fr-FR" w:eastAsia="fr-FR" w:bidi="fr-FR"/>
        </w:rPr>
        <w:t xml:space="preserve">succession </w:t>
      </w:r>
      <w:r>
        <w:rPr>
          <w:color w:val="000000"/>
          <w:spacing w:val="0"/>
          <w:w w:val="100"/>
          <w:position w:val="0"/>
          <w:sz w:val="18"/>
          <w:szCs w:val="18"/>
          <w:shd w:val="clear" w:color="auto" w:fill="auto"/>
          <w:lang w:val="en-US" w:eastAsia="en-US" w:bidi="en-US"/>
        </w:rPr>
        <w:t xml:space="preserve">of numbers 1∙5, 2∙5, 3∙5, </w:t>
      </w:r>
      <w:r>
        <w:rPr>
          <w:i/>
          <w:iCs/>
          <w:color w:val="000000"/>
          <w:spacing w:val="0"/>
          <w:w w:val="100"/>
          <w:position w:val="0"/>
          <w:sz w:val="17"/>
          <w:szCs w:val="17"/>
          <w:shd w:val="clear" w:color="auto" w:fill="auto"/>
          <w:lang w:val="en-US" w:eastAsia="en-US" w:bidi="en-US"/>
        </w:rPr>
        <w:t>&amp;c.</w:t>
      </w:r>
      <w:r>
        <w:rPr>
          <w:color w:val="000000"/>
          <w:spacing w:val="0"/>
          <w:w w:val="100"/>
          <w:position w:val="0"/>
          <w:sz w:val="18"/>
          <w:szCs w:val="18"/>
          <w:shd w:val="clear" w:color="auto" w:fill="auto"/>
          <w:lang w:val="en-US" w:eastAsia="en-US" w:bidi="en-US"/>
        </w:rPr>
        <w:t xml:space="preserve"> As Ritz points out, the first two equations appear only to be particular cases of the form</w:t>
      </w:r>
    </w:p>
    <w:p>
      <w:pPr>
        <w:pStyle w:val="Style9"/>
        <w:keepNext w:val="0"/>
        <w:keepLines w:val="0"/>
        <w:widowControl w:val="0"/>
        <w:shd w:val="clear" w:color="auto" w:fill="auto"/>
        <w:tabs>
          <w:tab w:pos="2998" w:val="left"/>
        </w:tabs>
        <w:bidi w:val="0"/>
        <w:spacing w:line="240" w:lineRule="auto"/>
        <w:ind w:left="0" w:firstLine="0"/>
        <w:jc w:val="left"/>
      </w:pPr>
      <w:r>
        <w:rPr>
          <w:rFonts w:ascii="Cambria" w:eastAsia="Cambria" w:hAnsi="Cambria" w:cs="Cambria"/>
          <w:b w:val="0"/>
          <w:bCs w:val="0"/>
          <w:i/>
          <w:iCs/>
          <w:color w:val="000000"/>
          <w:spacing w:val="0"/>
          <w:w w:val="100"/>
          <w:position w:val="0"/>
          <w:sz w:val="17"/>
          <w:szCs w:val="17"/>
          <w:shd w:val="clear" w:color="auto" w:fill="auto"/>
          <w:lang w:val="el-GR" w:eastAsia="el-GR" w:bidi="el-GR"/>
        </w:rPr>
        <w:t>η</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w:t>
        <w:tab/>
        <w:t>I</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(r+βγ</w:t>
      </w:r>
    </w:p>
    <w:p>
      <w:pPr>
        <w:pStyle w:val="Style3"/>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in which 5 and </w:t>
      </w:r>
      <w:r>
        <w:rPr>
          <w:i/>
          <w:iCs/>
          <w:color w:val="000000"/>
          <w:spacing w:val="0"/>
          <w:w w:val="100"/>
          <w:position w:val="0"/>
          <w:sz w:val="17"/>
          <w:szCs w:val="17"/>
          <w:shd w:val="clear" w:color="auto" w:fill="auto"/>
          <w:lang w:val="en-US" w:eastAsia="en-US" w:bidi="en-US"/>
        </w:rPr>
        <w:t>r</w:t>
      </w:r>
      <w:r>
        <w:rPr>
          <w:color w:val="000000"/>
          <w:spacing w:val="0"/>
          <w:w w:val="100"/>
          <w:position w:val="0"/>
          <w:sz w:val="18"/>
          <w:szCs w:val="18"/>
          <w:shd w:val="clear" w:color="auto" w:fill="auto"/>
          <w:lang w:val="en-US" w:eastAsia="en-US" w:bidi="en-US"/>
        </w:rPr>
        <w:t xml:space="preserve"> have the form given above. In the trunk series </w:t>
      </w:r>
      <w:r>
        <w:rPr>
          <w:i/>
          <w:iCs/>
          <w:color w:val="00000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lang w:val="en-US" w:eastAsia="en-US" w:bidi="en-US"/>
        </w:rPr>
        <w:t xml:space="preserve"> has the particular value 1∙5, and in the main branch series </w:t>
      </w:r>
      <w:r>
        <w:rPr>
          <w:i/>
          <w:iCs/>
          <w:color w:val="00000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lang w:val="en-US" w:eastAsia="en-US" w:bidi="en-US"/>
        </w:rPr>
        <w:t xml:space="preserve"> has the particular value 2, but we -should expect a weaker set of lines to exist corresponding to the trunk series with r=2∙5 or corresponding to the main branch series with s=3, and in fact a whole succession of such series. Taking the Trunk and Main Branch Series, we find they depend altogether on the four constants: </w:t>
      </w:r>
      <w:r>
        <w:rPr>
          <w:i/>
          <w:iCs/>
          <w:color w:val="000000"/>
          <w:spacing w:val="0"/>
          <w:w w:val="100"/>
          <w:position w:val="0"/>
          <w:sz w:val="17"/>
          <w:szCs w:val="17"/>
          <w:shd w:val="clear" w:color="auto" w:fill="auto"/>
          <w:lang w:val="en-US" w:eastAsia="en-US" w:bidi="en-US"/>
        </w:rPr>
        <w:t>a</w:t>
      </w:r>
      <w:r>
        <w:rPr>
          <w:i/>
          <w:iCs/>
          <w:color w:val="000000"/>
          <w:spacing w:val="0"/>
          <w:w w:val="100"/>
          <w:position w:val="0"/>
          <w:sz w:val="17"/>
          <w:szCs w:val="17"/>
          <w:shd w:val="clear" w:color="auto" w:fill="auto"/>
          <w:vertAlign w:val="subscript"/>
          <w:lang w:val="en-US" w:eastAsia="en-US" w:bidi="en-US"/>
        </w:rPr>
        <w:t>1</w:t>
      </w:r>
      <w:r>
        <w:rPr>
          <w:i/>
          <w:iCs/>
          <w:color w:val="000000"/>
          <w:spacing w:val="0"/>
          <w:w w:val="100"/>
          <w:position w:val="0"/>
          <w:sz w:val="17"/>
          <w:szCs w:val="17"/>
          <w:shd w:val="clear" w:color="auto" w:fill="auto"/>
          <w:lang w:val="en-US" w:eastAsia="en-US" w:bidi="en-US"/>
        </w:rPr>
        <w:t>, b, a</w:t>
      </w:r>
      <w:r>
        <w:rPr>
          <w:i/>
          <w:iCs/>
          <w:color w:val="000000"/>
          <w:spacing w:val="0"/>
          <w:w w:val="100"/>
          <w:position w:val="0"/>
          <w:sz w:val="17"/>
          <w:szCs w:val="17"/>
          <w:shd w:val="clear" w:color="auto" w:fill="auto"/>
          <w:vertAlign w:val="superscript"/>
          <w:lang w:val="en-US" w:eastAsia="en-US" w:bidi="en-US"/>
        </w:rPr>
        <w:t>l</w:t>
      </w:r>
      <w:r>
        <w:rPr>
          <w:i/>
          <w:iCs/>
          <w:color w:val="000000"/>
          <w:spacing w:val="0"/>
          <w:w w:val="100"/>
          <w:position w:val="0"/>
          <w:sz w:val="17"/>
          <w:szCs w:val="17"/>
          <w:shd w:val="clear" w:color="auto" w:fill="auto"/>
          <w:lang w:val="en-US" w:eastAsia="en-US" w:bidi="en-US"/>
        </w:rPr>
        <w:t>, b</w:t>
      </w:r>
      <w:r>
        <w:rPr>
          <w:i/>
          <w:iCs/>
          <w:color w:val="000000"/>
          <w:spacing w:val="0"/>
          <w:w w:val="100"/>
          <w:position w:val="0"/>
          <w:sz w:val="17"/>
          <w:szCs w:val="17"/>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while N is a universal constant identical with that deduced from the hydrogen series. As an example of the accuracy obtained we give in the following Table the figures for potassium. The lines of the trunk series are double but for the sake of shortness the least refrangible component is here omitted.</w:t>
      </w:r>
    </w:p>
    <w:tbl>
      <w:tblPr>
        <w:tblOverlap w:val="never"/>
        <w:jc w:val="left"/>
        <w:tblLayout w:type="fixed"/>
      </w:tblPr>
      <w:tblGrid>
        <w:gridCol w:w="379"/>
        <w:gridCol w:w="706"/>
        <w:gridCol w:w="629"/>
        <w:gridCol w:w="384"/>
        <w:gridCol w:w="696"/>
        <w:gridCol w:w="634"/>
        <w:gridCol w:w="302"/>
        <w:gridCol w:w="701"/>
        <w:gridCol w:w="590"/>
      </w:tblGrid>
      <w:tr>
        <w:trPr>
          <w:trHeight w:val="283"/>
        </w:trPr>
        <w:tc>
          <w:tcPr>
            <w:gridSpan w:val="9"/>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Spectrum of Potassium.</w:t>
            </w:r>
          </w:p>
        </w:tc>
      </w:tr>
      <w:tr>
        <w:trPr>
          <w:trHeight w:val="269"/>
        </w:trPr>
        <w:tc>
          <w:tcPr>
            <w:gridSpan w:val="3"/>
            <w:tcBorders>
              <w:top w:val="single" w:sz="4"/>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Trunk Series.</w:t>
            </w:r>
          </w:p>
        </w:tc>
        <w:tc>
          <w:tcPr>
            <w:gridSpan w:val="3"/>
            <w:tcBorders>
              <w:top w:val="single" w:sz="4"/>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Main Branch.</w:t>
            </w:r>
          </w:p>
        </w:tc>
        <w:tc>
          <w:tcPr>
            <w:gridSpan w:val="3"/>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Side Branch.</w:t>
            </w:r>
          </w:p>
        </w:tc>
      </w:tr>
      <w:tr>
        <w:trPr>
          <w:trHeight w:val="240"/>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S</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n</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Δ</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r</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n</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A</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n</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Δ</w:t>
            </w:r>
          </w:p>
        </w:tc>
      </w:tr>
      <w:tr>
        <w:trPr>
          <w:trHeight w:val="173"/>
        </w:trPr>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2</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13o36∙8</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-0-24</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ι∙5</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12980· 7</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o·oo</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5</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I7i99∙5</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o·oo</w:t>
            </w:r>
          </w:p>
        </w:tc>
      </w:tr>
      <w:tr>
        <w:trPr>
          <w:trHeight w:val="149"/>
        </w:trPr>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3</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24719∙4</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÷o·oo</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2∙5</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6</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18709-5</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o·oo</w:t>
            </w:r>
          </w:p>
        </w:tc>
      </w:tr>
      <w:tr>
        <w:trPr>
          <w:trHeight w:val="158"/>
        </w:trPr>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4</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29006· 7</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-j-o∙12</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3∙5</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14465∙3</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o·oo</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7</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i96l1∙2</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4-o∙16</w:t>
            </w:r>
          </w:p>
        </w:tc>
      </w:tr>
      <w:tr>
        <w:trPr>
          <w:trHeight w:val="154"/>
        </w:trPr>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5</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31o73∙5</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4’5</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17288∙3</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+o∙2o</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8</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2o188∙o</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÷o∙7o</w:t>
            </w:r>
          </w:p>
        </w:tc>
      </w:tr>
      <w:tr>
        <w:trPr>
          <w:trHeight w:val="163"/>
        </w:trPr>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6</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32226∙5</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÷o∙40</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5∙5</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18779∙2</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-j-o∙22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7</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32939∙4</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6-5</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19662· 3</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-∣-o∙22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8</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334o8∙7</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—o∙o8</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7∙5</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20224∙7</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 l∙io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trPr>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9</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33736∙2</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2"/>
        </w:trPr>
        <w:tc>
          <w:tcPr>
            <w:tcBorders>
              <w:left w:val="single" w:sz="4"/>
              <w:bottom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10</w:t>
            </w:r>
          </w:p>
        </w:tc>
        <w:tc>
          <w:tcPr>
            <w:tcBorders>
              <w:left w:val="single" w:sz="4"/>
              <w:bottom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33971 *4</w:t>
            </w:r>
          </w:p>
        </w:tc>
        <w:tc>
          <w:tcPr>
            <w:tcBorders>
              <w:left w:val="single" w:sz="4"/>
              <w:bottom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-o∙23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40" w:lineRule="auto"/>
        <w:ind w:left="0" w:firstLine="0"/>
        <w:jc w:val="left"/>
        <w:rPr>
          <w:sz w:val="18"/>
          <w:szCs w:val="18"/>
        </w:rPr>
      </w:pPr>
      <w:r>
        <w:rPr>
          <w:i/>
          <w:iCs/>
          <w:color w:val="000000"/>
          <w:spacing w:val="0"/>
          <w:w w:val="100"/>
          <w:position w:val="0"/>
          <w:sz w:val="17"/>
          <w:szCs w:val="17"/>
          <w:shd w:val="clear" w:color="auto" w:fill="auto"/>
          <w:vertAlign w:val="superscript"/>
          <w:lang w:val="en-US" w:eastAsia="en-US" w:bidi="en-US"/>
        </w:rPr>
        <w:t>@@@1</w:t>
      </w:r>
      <w:r>
        <w:rPr>
          <w:i/>
          <w:iCs/>
          <w:color w:val="000000"/>
          <w:spacing w:val="0"/>
          <w:w w:val="100"/>
          <w:position w:val="0"/>
          <w:sz w:val="17"/>
          <w:szCs w:val="17"/>
          <w:shd w:val="clear" w:color="auto" w:fill="auto"/>
          <w:lang w:val="en-US" w:eastAsia="en-US" w:bidi="en-US"/>
        </w:rPr>
        <w:t xml:space="preserve"> Astrophys. Journ.</w:t>
      </w:r>
      <w:r>
        <w:rPr>
          <w:color w:val="000000"/>
          <w:spacing w:val="0"/>
          <w:w w:val="100"/>
          <w:position w:val="0"/>
          <w:sz w:val="18"/>
          <w:szCs w:val="18"/>
          <w:shd w:val="clear" w:color="auto" w:fill="auto"/>
          <w:lang w:val="en-US" w:eastAsia="en-US" w:bidi="en-US"/>
        </w:rPr>
        <w:t xml:space="preserve"> (1896), 4, p. 369.</w:t>
      </w:r>
    </w:p>
    <w:p>
      <w:pPr>
        <w:pStyle w:val="Style3"/>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Ibid, (1897), 6, p. 65.</w:t>
      </w:r>
    </w:p>
    <w:p>
      <w:pPr>
        <w:pStyle w:val="Style3"/>
        <w:keepNext w:val="0"/>
        <w:keepLines w:val="0"/>
        <w:widowControl w:val="0"/>
        <w:shd w:val="clear" w:color="auto" w:fill="auto"/>
        <w:bidi w:val="0"/>
        <w:spacing w:line="185" w:lineRule="auto"/>
        <w:ind w:left="0" w:firstLine="0"/>
        <w:jc w:val="left"/>
        <w:rPr>
          <w:sz w:val="18"/>
          <w:szCs w:val="18"/>
        </w:rPr>
      </w:pPr>
      <w:r>
        <w:rPr>
          <w:i/>
          <w:iCs/>
          <w:color w:val="000000"/>
          <w:spacing w:val="0"/>
          <w:w w:val="100"/>
          <w:position w:val="0"/>
          <w:sz w:val="17"/>
          <w:szCs w:val="17"/>
          <w:shd w:val="clear" w:color="auto" w:fill="auto"/>
          <w:vertAlign w:val="superscript"/>
          <w:lang w:val="en-US" w:eastAsia="en-US" w:bidi="en-US"/>
        </w:rPr>
        <w:t>@@@,</w:t>
      </w:r>
      <w:r>
        <w:rPr>
          <w:i/>
          <w:iCs/>
          <w:color w:val="000000"/>
          <w:spacing w:val="0"/>
          <w:w w:val="100"/>
          <w:position w:val="0"/>
          <w:sz w:val="17"/>
          <w:szCs w:val="17"/>
          <w:shd w:val="clear" w:color="auto" w:fill="auto"/>
          <w:lang w:val="en-US" w:eastAsia="en-US" w:bidi="en-US"/>
        </w:rPr>
        <w:t xml:space="preserve"> Trans. Ast. Soc. Edinburgh</w:t>
      </w:r>
      <w:r>
        <w:rPr>
          <w:color w:val="000000"/>
          <w:spacing w:val="0"/>
          <w:w w:val="100"/>
          <w:position w:val="0"/>
          <w:sz w:val="18"/>
          <w:szCs w:val="18"/>
          <w:shd w:val="clear" w:color="auto" w:fill="auto"/>
          <w:lang w:val="en-US" w:eastAsia="en-US" w:bidi="en-US"/>
        </w:rPr>
        <w:t xml:space="preserve"> (1905), 41, p. 551.</w:t>
      </w:r>
    </w:p>
    <w:p>
      <w:pPr>
        <w:widowControl w:val="0"/>
        <w:spacing w:line="1" w:lineRule="exact"/>
      </w:pPr>
    </w:p>
    <w:sectPr>
      <w:footnotePr>
        <w:pos w:val="pageBottom"/>
        <w:numFmt w:val="decimal"/>
        <w:numRestart w:val="continuous"/>
      </w:footnotePr>
      <w:type w:val="continuous"/>
      <w:pgSz w:w="12240" w:h="15840"/>
      <w:pgMar w:top="864" w:left="979" w:right="835" w:bottom="6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0">
    <w:name w:val="Body text (5)_"/>
    <w:basedOn w:val="DefaultParagraphFont"/>
    <w:link w:val="Style9"/>
    <w:rPr>
      <w:b/>
      <w:bCs/>
      <w:i w:val="0"/>
      <w:iCs w:val="0"/>
      <w:smallCaps w:val="0"/>
      <w:strike w:val="0"/>
      <w:sz w:val="13"/>
      <w:szCs w:val="13"/>
      <w:u w:val="none"/>
    </w:rPr>
  </w:style>
  <w:style w:type="character" w:customStyle="1" w:styleId="CharStyle14">
    <w:name w:val="Other_"/>
    <w:basedOn w:val="DefaultParagraphFont"/>
    <w:link w:val="Style1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9">
    <w:name w:val="Body text (5)"/>
    <w:basedOn w:val="Normal"/>
    <w:link w:val="CharStyle10"/>
    <w:pPr>
      <w:widowControl w:val="0"/>
      <w:shd w:val="clear" w:color="auto" w:fill="FFFFFF"/>
      <w:ind w:left="2220"/>
    </w:pPr>
    <w:rPr>
      <w:b/>
      <w:bCs/>
      <w:i w:val="0"/>
      <w:iCs w:val="0"/>
      <w:smallCaps w:val="0"/>
      <w:strike w:val="0"/>
      <w:sz w:val="13"/>
      <w:szCs w:val="13"/>
      <w:u w:val="none"/>
    </w:rPr>
  </w:style>
  <w:style w:type="paragraph" w:customStyle="1" w:styleId="Style13">
    <w:name w:val="Other"/>
    <w:basedOn w:val="Normal"/>
    <w:link w:val="CharStyle14"/>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