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tabs>
          <w:tab w:pos="614" w:val="left"/>
        </w:tabs>
        <w:bidi w:val="0"/>
        <w:spacing w:line="180" w:lineRule="auto"/>
        <w:ind w:left="0" w:firstLine="0"/>
        <w:jc w:val="left"/>
        <w:rPr>
          <w:sz w:val="17"/>
          <w:szCs w:val="17"/>
        </w:rPr>
      </w:pPr>
      <w:r>
        <w:rPr>
          <w:color w:val="000000"/>
          <w:spacing w:val="0"/>
          <w:w w:val="100"/>
          <w:position w:val="0"/>
          <w:sz w:val="17"/>
          <w:szCs w:val="17"/>
          <w:shd w:val="clear" w:color="auto" w:fill="auto"/>
          <w:lang w:val="en-US" w:eastAsia="en-US" w:bidi="en-US"/>
        </w:rPr>
        <w:t xml:space="preserve">Poriferae,” </w:t>
      </w:r>
      <w:r>
        <w:rPr>
          <w:i/>
          <w:iCs/>
          <w:color w:val="000000"/>
          <w:spacing w:val="0"/>
          <w:w w:val="100"/>
          <w:position w:val="0"/>
          <w:sz w:val="17"/>
          <w:szCs w:val="17"/>
          <w:shd w:val="clear" w:color="auto" w:fill="auto"/>
          <w:lang w:val="en-US" w:eastAsia="en-US" w:bidi="en-US"/>
        </w:rPr>
        <w:t xml:space="preserve">Mem. Boston </w:t>
      </w:r>
      <w:r>
        <w:rPr>
          <w:i/>
          <w:iCs/>
          <w:color w:val="000000"/>
          <w:spacing w:val="0"/>
          <w:w w:val="100"/>
          <w:position w:val="0"/>
          <w:sz w:val="17"/>
          <w:szCs w:val="17"/>
          <w:shd w:val="clear" w:color="auto" w:fill="auto"/>
          <w:lang w:val="fr-FR" w:eastAsia="fr-FR" w:bidi="fr-FR"/>
        </w:rPr>
        <w:t xml:space="preserve">Soc. </w:t>
      </w:r>
      <w:r>
        <w:rPr>
          <w:i/>
          <w:iCs/>
          <w:color w:val="000000"/>
          <w:spacing w:val="0"/>
          <w:w w:val="100"/>
          <w:position w:val="0"/>
          <w:sz w:val="17"/>
          <w:szCs w:val="17"/>
          <w:shd w:val="clear" w:color="auto" w:fill="auto"/>
          <w:lang w:val="en-US" w:eastAsia="en-US" w:bidi="en-US"/>
        </w:rPr>
        <w:t>Nat. Hist.</w:t>
      </w:r>
      <w:r>
        <w:rPr>
          <w:color w:val="000000"/>
          <w:spacing w:val="0"/>
          <w:w w:val="100"/>
          <w:position w:val="0"/>
          <w:sz w:val="17"/>
          <w:szCs w:val="17"/>
          <w:shd w:val="clear" w:color="auto" w:fill="auto"/>
          <w:lang w:val="en-US" w:eastAsia="en-US" w:bidi="en-US"/>
        </w:rPr>
        <w:t xml:space="preserve"> (1875-1877), vol. ii. ; (10) R. Kirkpatrick, </w:t>
      </w:r>
      <w:r>
        <w:rPr>
          <w:i/>
          <w:iCs/>
          <w:color w:val="000000"/>
          <w:spacing w:val="0"/>
          <w:w w:val="100"/>
          <w:position w:val="0"/>
          <w:sz w:val="17"/>
          <w:szCs w:val="17"/>
          <w:shd w:val="clear" w:color="auto" w:fill="auto"/>
          <w:lang w:val="en-US" w:eastAsia="en-US" w:bidi="en-US"/>
        </w:rPr>
        <w:t>Descriptions of South African Sponges</w:t>
      </w:r>
      <w:r>
        <w:rPr>
          <w:color w:val="000000"/>
          <w:spacing w:val="0"/>
          <w:w w:val="100"/>
          <w:position w:val="0"/>
          <w:sz w:val="17"/>
          <w:szCs w:val="17"/>
          <w:shd w:val="clear" w:color="auto" w:fill="auto"/>
          <w:lang w:val="en-US" w:eastAsia="en-US" w:bidi="en-US"/>
        </w:rPr>
        <w:t xml:space="preserve"> (Marine Investigations in South Africa; Cape of Good Hope Department of Agriculture, 1902-1903); (11) W. Lundbeck, </w:t>
      </w:r>
      <w:r>
        <w:rPr>
          <w:i/>
          <w:iCs/>
          <w:color w:val="000000"/>
          <w:spacing w:val="0"/>
          <w:w w:val="100"/>
          <w:position w:val="0"/>
          <w:sz w:val="17"/>
          <w:szCs w:val="17"/>
          <w:shd w:val="clear" w:color="auto" w:fill="auto"/>
          <w:lang w:val="en-US" w:eastAsia="en-US" w:bidi="en-US"/>
        </w:rPr>
        <w:t>Porifera</w:t>
      </w:r>
      <w:r>
        <w:rPr>
          <w:color w:val="000000"/>
          <w:spacing w:val="0"/>
          <w:w w:val="100"/>
          <w:position w:val="0"/>
          <w:sz w:val="17"/>
          <w:szCs w:val="17"/>
          <w:shd w:val="clear" w:color="auto" w:fill="auto"/>
          <w:lang w:val="en-US" w:eastAsia="en-US" w:bidi="en-US"/>
        </w:rPr>
        <w:t xml:space="preserve"> (Danish Ingolf-Expedition, vol. vi., 1902, &amp;c.); (12) E. A. Minchin, “ Mate</w:t>
        <w:softHyphen/>
        <w:t xml:space="preserve">rials for a Monograph of the Ascons,” I., </w:t>
      </w:r>
      <w:r>
        <w:rPr>
          <w:i/>
          <w:iCs/>
          <w:color w:val="000000"/>
          <w:spacing w:val="0"/>
          <w:w w:val="100"/>
          <w:position w:val="0"/>
          <w:sz w:val="17"/>
          <w:szCs w:val="17"/>
          <w:shd w:val="clear" w:color="auto" w:fill="auto"/>
          <w:lang w:val="en-US" w:eastAsia="en-US" w:bidi="en-US"/>
        </w:rPr>
        <w:t xml:space="preserve">Quart. Journ. Mic. </w:t>
      </w:r>
      <w:r>
        <w:rPr>
          <w:i/>
          <w:iCs/>
          <w:color w:val="000000"/>
          <w:spacing w:val="0"/>
          <w:w w:val="100"/>
          <w:position w:val="0"/>
          <w:sz w:val="17"/>
          <w:szCs w:val="17"/>
          <w:shd w:val="clear" w:color="auto" w:fill="auto"/>
          <w:lang w:val="de-DE" w:eastAsia="de-DE" w:bidi="de-DE"/>
        </w:rPr>
        <w:t xml:space="preserve">Sci. </w:t>
      </w:r>
      <w:r>
        <w:rPr>
          <w:color w:val="000000"/>
          <w:spacing w:val="0"/>
          <w:w w:val="100"/>
          <w:position w:val="0"/>
          <w:sz w:val="17"/>
          <w:szCs w:val="17"/>
          <w:shd w:val="clear" w:color="auto" w:fill="auto"/>
          <w:lang w:val="en-US" w:eastAsia="en-US" w:bidi="en-US"/>
        </w:rPr>
        <w:t xml:space="preserve">(1898), vol. xl.; (13) idem, “Sponges,” in Lankester’s </w:t>
      </w:r>
      <w:r>
        <w:rPr>
          <w:i/>
          <w:iCs/>
          <w:color w:val="000000"/>
          <w:spacing w:val="0"/>
          <w:w w:val="100"/>
          <w:position w:val="0"/>
          <w:sz w:val="17"/>
          <w:szCs w:val="17"/>
          <w:shd w:val="clear" w:color="auto" w:fill="auto"/>
          <w:lang w:val="en-US" w:eastAsia="en-US" w:bidi="en-US"/>
        </w:rPr>
        <w:t xml:space="preserve">Zoology, </w:t>
      </w:r>
      <w:r>
        <w:rPr>
          <w:color w:val="000000"/>
          <w:spacing w:val="0"/>
          <w:w w:val="100"/>
          <w:position w:val="0"/>
          <w:sz w:val="17"/>
          <w:szCs w:val="17"/>
          <w:shd w:val="clear" w:color="auto" w:fill="auto"/>
          <w:lang w:val="en-US" w:eastAsia="en-US" w:bidi="en-US"/>
        </w:rPr>
        <w:t xml:space="preserve">pt. ii. (1900); (14) N. Poléjaeff, “ </w:t>
      </w:r>
      <w:r>
        <w:rPr>
          <w:i/>
          <w:iCs/>
          <w:color w:val="000000"/>
          <w:spacing w:val="0"/>
          <w:w w:val="100"/>
          <w:position w:val="0"/>
          <w:sz w:val="17"/>
          <w:szCs w:val="17"/>
          <w:shd w:val="clear" w:color="auto" w:fill="auto"/>
          <w:lang w:val="en-US" w:eastAsia="en-US" w:bidi="en-US"/>
        </w:rPr>
        <w:t>Calcarea,” “ Challenger ” Reports, "</w:t>
      </w:r>
      <w:r>
        <w:rPr>
          <w:color w:val="000000"/>
          <w:spacing w:val="0"/>
          <w:w w:val="100"/>
          <w:position w:val="0"/>
          <w:sz w:val="17"/>
          <w:szCs w:val="17"/>
          <w:shd w:val="clear" w:color="auto" w:fill="auto"/>
          <w:lang w:val="en-US" w:eastAsia="en-US" w:bidi="en-US"/>
        </w:rPr>
        <w:t xml:space="preserve">Zoology" (1883), vol. viii. ; (15) S. O. Ridley and A. Dendy, </w:t>
      </w:r>
      <w:r>
        <w:rPr>
          <w:i/>
          <w:iCs/>
          <w:color w:val="000000"/>
          <w:spacing w:val="0"/>
          <w:w w:val="100"/>
          <w:position w:val="0"/>
          <w:sz w:val="17"/>
          <w:szCs w:val="17"/>
          <w:shd w:val="clear" w:color="auto" w:fill="auto"/>
          <w:lang w:val="en-US" w:eastAsia="en-US" w:bidi="en-US"/>
        </w:rPr>
        <w:t>“ Mon axon ida,” “ Challenger ” Reports,</w:t>
      </w:r>
      <w:r>
        <w:rPr>
          <w:color w:val="000000"/>
          <w:spacing w:val="0"/>
          <w:w w:val="100"/>
          <w:position w:val="0"/>
          <w:sz w:val="17"/>
          <w:szCs w:val="17"/>
          <w:shd w:val="clear" w:color="auto" w:fill="auto"/>
          <w:lang w:val="en-US" w:eastAsia="en-US" w:bidi="en-US"/>
        </w:rPr>
        <w:t xml:space="preserve"> “ Zoology ” (1888) vol. xx.; (16) </w:t>
      </w:r>
      <w:r>
        <w:rPr>
          <w:color w:val="000000"/>
          <w:spacing w:val="0"/>
          <w:w w:val="100"/>
          <w:position w:val="0"/>
          <w:sz w:val="17"/>
          <w:szCs w:val="17"/>
          <w:shd w:val="clear" w:color="auto" w:fill="auto"/>
          <w:lang w:val="fr-FR" w:eastAsia="fr-FR" w:bidi="fr-FR"/>
        </w:rPr>
        <w:t xml:space="preserve">F. </w:t>
      </w:r>
      <w:r>
        <w:rPr>
          <w:color w:val="000000"/>
          <w:spacing w:val="0"/>
          <w:w w:val="100"/>
          <w:position w:val="0"/>
          <w:sz w:val="17"/>
          <w:szCs w:val="17"/>
          <w:shd w:val="clear" w:color="auto" w:fill="auto"/>
          <w:lang w:val="en-US" w:eastAsia="en-US" w:bidi="en-US"/>
        </w:rPr>
        <w:t xml:space="preserve">E. Schulze, “ </w:t>
      </w:r>
      <w:r>
        <w:rPr>
          <w:color w:val="000000"/>
          <w:spacing w:val="0"/>
          <w:w w:val="100"/>
          <w:position w:val="0"/>
          <w:sz w:val="17"/>
          <w:szCs w:val="17"/>
          <w:shd w:val="clear" w:color="auto" w:fill="auto"/>
          <w:lang w:val="de-DE" w:eastAsia="de-DE" w:bidi="de-DE"/>
        </w:rPr>
        <w:t xml:space="preserve">Untersuchungen über den Bau und die Entwicklung der Spongien,” </w:t>
      </w:r>
      <w:r>
        <w:rPr>
          <w:i/>
          <w:iCs/>
          <w:color w:val="000000"/>
          <w:spacing w:val="0"/>
          <w:w w:val="100"/>
          <w:position w:val="0"/>
          <w:sz w:val="17"/>
          <w:szCs w:val="17"/>
          <w:shd w:val="clear" w:color="auto" w:fill="auto"/>
          <w:lang w:val="de-DE" w:eastAsia="de-DE" w:bidi="de-DE"/>
        </w:rPr>
        <w:t>Zeitschrift für wiss. Zoologie</w:t>
      </w:r>
      <w:r>
        <w:rPr>
          <w:color w:val="000000"/>
          <w:spacing w:val="0"/>
          <w:w w:val="100"/>
          <w:position w:val="0"/>
          <w:sz w:val="17"/>
          <w:szCs w:val="17"/>
          <w:shd w:val="clear" w:color="auto" w:fill="auto"/>
          <w:lang w:val="de-DE" w:eastAsia="de-DE" w:bidi="de-DE"/>
        </w:rPr>
        <w:t xml:space="preserve"> </w:t>
      </w:r>
      <w:r>
        <w:rPr>
          <w:color w:val="000000"/>
          <w:spacing w:val="0"/>
          <w:w w:val="100"/>
          <w:position w:val="0"/>
          <w:sz w:val="17"/>
          <w:szCs w:val="17"/>
          <w:shd w:val="clear" w:color="auto" w:fill="auto"/>
          <w:lang w:val="en-US" w:eastAsia="en-US" w:bidi="en-US"/>
        </w:rPr>
        <w:t xml:space="preserve">(1875- </w:t>
      </w:r>
      <w:r>
        <w:rPr>
          <w:color w:val="000000"/>
          <w:spacing w:val="0"/>
          <w:w w:val="100"/>
          <w:position w:val="0"/>
          <w:sz w:val="17"/>
          <w:szCs w:val="17"/>
          <w:shd w:val="clear" w:color="auto" w:fill="auto"/>
          <w:lang w:val="de-DE" w:eastAsia="de-DE" w:bidi="de-DE"/>
        </w:rPr>
        <w:t>1881);</w:t>
        <w:tab/>
      </w:r>
      <w:r>
        <w:rPr>
          <w:color w:val="000000"/>
          <w:spacing w:val="0"/>
          <w:w w:val="100"/>
          <w:position w:val="0"/>
          <w:sz w:val="17"/>
          <w:szCs w:val="17"/>
          <w:shd w:val="clear" w:color="auto" w:fill="auto"/>
          <w:lang w:val="en-US" w:eastAsia="en-US" w:bidi="en-US"/>
        </w:rPr>
        <w:t xml:space="preserve">(17) </w:t>
      </w:r>
      <w:r>
        <w:rPr>
          <w:color w:val="000000"/>
          <w:spacing w:val="0"/>
          <w:w w:val="100"/>
          <w:position w:val="0"/>
          <w:sz w:val="17"/>
          <w:szCs w:val="17"/>
          <w:shd w:val="clear" w:color="auto" w:fill="auto"/>
          <w:lang w:val="de-DE" w:eastAsia="de-DE" w:bidi="de-DE"/>
        </w:rPr>
        <w:t xml:space="preserve">idem, </w:t>
      </w:r>
      <w:r>
        <w:rPr>
          <w:i/>
          <w:iCs/>
          <w:color w:val="000000"/>
          <w:spacing w:val="0"/>
          <w:w w:val="100"/>
          <w:position w:val="0"/>
          <w:sz w:val="17"/>
          <w:szCs w:val="17"/>
          <w:shd w:val="clear" w:color="auto" w:fill="auto"/>
          <w:lang w:val="de-DE" w:eastAsia="de-DE" w:bidi="de-DE"/>
        </w:rPr>
        <w:t>“ Hexactinellida” (“Challenger” Reports,</w:t>
      </w:r>
    </w:p>
    <w:p>
      <w:pPr>
        <w:pStyle w:val="Style2"/>
        <w:keepNext w:val="0"/>
        <w:keepLines w:val="0"/>
        <w:widowControl w:val="0"/>
        <w:shd w:val="clear" w:color="auto" w:fill="auto"/>
        <w:tabs>
          <w:tab w:pos="3967" w:val="left"/>
        </w:tabs>
        <w:bidi w:val="0"/>
        <w:spacing w:line="180" w:lineRule="auto"/>
        <w:ind w:left="0" w:firstLine="0"/>
        <w:jc w:val="left"/>
      </w:pPr>
      <w:r>
        <w:rPr>
          <w:color w:val="000000"/>
          <w:spacing w:val="0"/>
          <w:w w:val="100"/>
          <w:position w:val="0"/>
          <w:sz w:val="17"/>
          <w:szCs w:val="17"/>
          <w:shd w:val="clear" w:color="auto" w:fill="auto"/>
          <w:lang w:val="en-US" w:eastAsia="en-US" w:bidi="en-US"/>
        </w:rPr>
        <w:t xml:space="preserve">“Zoology,” vol. </w:t>
      </w:r>
      <w:r>
        <w:rPr>
          <w:color w:val="000000"/>
          <w:spacing w:val="0"/>
          <w:w w:val="100"/>
          <w:position w:val="0"/>
          <w:sz w:val="17"/>
          <w:szCs w:val="17"/>
          <w:shd w:val="clear" w:color="auto" w:fill="auto"/>
          <w:lang w:val="de-DE" w:eastAsia="de-DE" w:bidi="de-DE"/>
        </w:rPr>
        <w:t xml:space="preserve">xxi.); </w:t>
      </w:r>
      <w:r>
        <w:rPr>
          <w:color w:val="000000"/>
          <w:spacing w:val="0"/>
          <w:w w:val="100"/>
          <w:position w:val="0"/>
          <w:sz w:val="17"/>
          <w:szCs w:val="17"/>
          <w:shd w:val="clear" w:color="auto" w:fill="auto"/>
          <w:lang w:val="en-US" w:eastAsia="en-US" w:bidi="en-US"/>
        </w:rPr>
        <w:t xml:space="preserve">(18) </w:t>
      </w:r>
      <w:r>
        <w:rPr>
          <w:color w:val="000000"/>
          <w:spacing w:val="0"/>
          <w:w w:val="100"/>
          <w:position w:val="0"/>
          <w:sz w:val="17"/>
          <w:szCs w:val="17"/>
          <w:shd w:val="clear" w:color="auto" w:fill="auto"/>
          <w:lang w:val="de-DE" w:eastAsia="de-DE" w:bidi="de-DE"/>
        </w:rPr>
        <w:t xml:space="preserve">idem, </w:t>
      </w:r>
      <w:r>
        <w:rPr>
          <w:i/>
          <w:iCs/>
          <w:color w:val="000000"/>
          <w:spacing w:val="0"/>
          <w:w w:val="100"/>
          <w:position w:val="0"/>
          <w:sz w:val="17"/>
          <w:szCs w:val="17"/>
          <w:shd w:val="clear" w:color="auto" w:fill="auto"/>
          <w:lang w:val="de-DE" w:eastAsia="de-DE" w:bidi="de-DE"/>
        </w:rPr>
        <w:t xml:space="preserve">Amerikanische Hexactinelliden </w:t>
      </w:r>
      <w:r>
        <w:rPr>
          <w:color w:val="000000"/>
          <w:spacing w:val="0"/>
          <w:w w:val="100"/>
          <w:position w:val="0"/>
          <w:sz w:val="17"/>
          <w:szCs w:val="17"/>
          <w:shd w:val="clear" w:color="auto" w:fill="auto"/>
          <w:lang w:val="de-DE" w:eastAsia="de-DE" w:bidi="de-DE"/>
        </w:rPr>
        <w:t xml:space="preserve">(Gustav Fischer, Jena, 1899); </w:t>
      </w:r>
      <w:r>
        <w:rPr>
          <w:color w:val="000000"/>
          <w:spacing w:val="0"/>
          <w:w w:val="100"/>
          <w:position w:val="0"/>
          <w:sz w:val="17"/>
          <w:szCs w:val="17"/>
          <w:shd w:val="clear" w:color="auto" w:fill="auto"/>
          <w:lang w:val="en-US" w:eastAsia="en-US" w:bidi="en-US"/>
        </w:rPr>
        <w:t xml:space="preserve">(19) </w:t>
      </w:r>
      <w:r>
        <w:rPr>
          <w:color w:val="000000"/>
          <w:spacing w:val="0"/>
          <w:w w:val="100"/>
          <w:position w:val="0"/>
          <w:sz w:val="17"/>
          <w:szCs w:val="17"/>
          <w:shd w:val="clear" w:color="auto" w:fill="auto"/>
          <w:lang w:val="de-DE" w:eastAsia="de-DE" w:bidi="de-DE"/>
        </w:rPr>
        <w:t xml:space="preserve">idem, </w:t>
      </w:r>
      <w:r>
        <w:rPr>
          <w:i/>
          <w:iCs/>
          <w:color w:val="000000"/>
          <w:spacing w:val="0"/>
          <w:w w:val="100"/>
          <w:position w:val="0"/>
          <w:sz w:val="17"/>
          <w:szCs w:val="17"/>
          <w:shd w:val="clear" w:color="auto" w:fill="auto"/>
          <w:lang w:val="de-DE" w:eastAsia="de-DE" w:bidi="de-DE"/>
        </w:rPr>
        <w:t xml:space="preserve">Hexactinellida </w:t>
      </w:r>
      <w:r>
        <w:rPr>
          <w:i/>
          <w:iCs/>
          <w:color w:val="000000"/>
          <w:spacing w:val="0"/>
          <w:w w:val="100"/>
          <w:position w:val="0"/>
          <w:sz w:val="17"/>
          <w:szCs w:val="17"/>
          <w:shd w:val="clear" w:color="auto" w:fill="auto"/>
          <w:lang w:val="en-US" w:eastAsia="en-US" w:bidi="en-US"/>
        </w:rPr>
        <w:t>of the "</w:t>
      </w:r>
      <w:r>
        <w:rPr>
          <w:i/>
          <w:iCs/>
          <w:color w:val="000000"/>
          <w:spacing w:val="0"/>
          <w:w w:val="100"/>
          <w:position w:val="0"/>
          <w:sz w:val="17"/>
          <w:szCs w:val="17"/>
          <w:shd w:val="clear" w:color="auto" w:fill="auto"/>
          <w:lang w:val="de-DE" w:eastAsia="de-DE" w:bidi="de-DE"/>
        </w:rPr>
        <w:t>Valdivia” Expedition</w:t>
      </w:r>
      <w:r>
        <w:rPr>
          <w:color w:val="000000"/>
          <w:spacing w:val="0"/>
          <w:w w:val="100"/>
          <w:position w:val="0"/>
          <w:sz w:val="17"/>
          <w:szCs w:val="17"/>
          <w:shd w:val="clear" w:color="auto" w:fill="auto"/>
          <w:lang w:val="de-DE" w:eastAsia="de-DE" w:bidi="de-DE"/>
        </w:rPr>
        <w:t xml:space="preserve"> (Jena, 1904); </w:t>
      </w:r>
      <w:r>
        <w:rPr>
          <w:color w:val="000000"/>
          <w:spacing w:val="0"/>
          <w:w w:val="100"/>
          <w:position w:val="0"/>
          <w:sz w:val="17"/>
          <w:szCs w:val="17"/>
          <w:shd w:val="clear" w:color="auto" w:fill="auto"/>
          <w:lang w:val="en-US" w:eastAsia="en-US" w:bidi="en-US"/>
        </w:rPr>
        <w:t xml:space="preserve">(20) </w:t>
      </w:r>
      <w:r>
        <w:rPr>
          <w:color w:val="000000"/>
          <w:spacing w:val="0"/>
          <w:w w:val="100"/>
          <w:position w:val="0"/>
          <w:sz w:val="17"/>
          <w:szCs w:val="17"/>
          <w:shd w:val="clear" w:color="auto" w:fill="auto"/>
          <w:lang w:val="de-DE" w:eastAsia="de-DE" w:bidi="de-DE"/>
        </w:rPr>
        <w:t xml:space="preserve">L. G. </w:t>
      </w:r>
      <w:r>
        <w:rPr>
          <w:color w:val="000000"/>
          <w:spacing w:val="0"/>
          <w:w w:val="100"/>
          <w:position w:val="0"/>
          <w:sz w:val="17"/>
          <w:szCs w:val="17"/>
          <w:shd w:val="clear" w:color="auto" w:fill="auto"/>
          <w:lang w:val="en-US" w:eastAsia="en-US" w:bidi="en-US"/>
        </w:rPr>
        <w:t xml:space="preserve">Seurat, </w:t>
      </w:r>
      <w:r>
        <w:rPr>
          <w:i/>
          <w:iCs/>
          <w:color w:val="000000"/>
          <w:spacing w:val="0"/>
          <w:w w:val="100"/>
          <w:position w:val="0"/>
          <w:sz w:val="17"/>
          <w:szCs w:val="17"/>
          <w:shd w:val="clear" w:color="auto" w:fill="auto"/>
          <w:lang w:val="en-US" w:eastAsia="en-US" w:bidi="en-US"/>
        </w:rPr>
        <w:t>L'</w:t>
      </w:r>
      <w:r>
        <w:rPr>
          <w:i/>
          <w:iCs/>
          <w:color w:val="000000"/>
          <w:spacing w:val="0"/>
          <w:w w:val="100"/>
          <w:position w:val="0"/>
          <w:sz w:val="17"/>
          <w:szCs w:val="17"/>
          <w:shd w:val="clear" w:color="auto" w:fill="auto"/>
          <w:lang w:val="fr-FR" w:eastAsia="fr-FR" w:bidi="fr-FR"/>
        </w:rPr>
        <w:t>Éponge histoire naturelle</w:t>
      </w:r>
      <w:r>
        <w:rPr>
          <w:color w:val="000000"/>
          <w:spacing w:val="0"/>
          <w:w w:val="100"/>
          <w:position w:val="0"/>
          <w:sz w:val="17"/>
          <w:szCs w:val="17"/>
          <w:shd w:val="clear" w:color="auto" w:fill="auto"/>
          <w:lang w:val="fr-FR" w:eastAsia="fr-FR" w:bidi="fr-FR"/>
        </w:rPr>
        <w:t xml:space="preserve">; Pêche; “Acclimatation”; Spongiculture, </w:t>
      </w:r>
      <w:r>
        <w:rPr>
          <w:i/>
          <w:iCs/>
          <w:color w:val="000000"/>
          <w:spacing w:val="0"/>
          <w:w w:val="100"/>
          <w:position w:val="0"/>
          <w:sz w:val="17"/>
          <w:szCs w:val="17"/>
          <w:shd w:val="clear" w:color="auto" w:fill="auto"/>
          <w:lang w:val="fr-FR" w:eastAsia="fr-FR" w:bidi="fr-FR"/>
        </w:rPr>
        <w:t>Bull. soc. nat. d'acclimatation de France,</w:t>
      </w:r>
      <w:r>
        <w:rPr>
          <w:color w:val="000000"/>
          <w:spacing w:val="0"/>
          <w:w w:val="100"/>
          <w:position w:val="0"/>
          <w:sz w:val="17"/>
          <w:szCs w:val="17"/>
          <w:shd w:val="clear" w:color="auto" w:fill="auto"/>
          <w:lang w:val="fr-FR" w:eastAsia="fr-FR" w:bidi="fr-FR"/>
        </w:rPr>
        <w:t xml:space="preserve"> </w:t>
      </w:r>
      <w:r>
        <w:rPr>
          <w:color w:val="000000"/>
          <w:spacing w:val="0"/>
          <w:w w:val="100"/>
          <w:position w:val="0"/>
          <w:sz w:val="17"/>
          <w:szCs w:val="17"/>
          <w:shd w:val="clear" w:color="auto" w:fill="auto"/>
          <w:lang w:val="en-US" w:eastAsia="en-US" w:bidi="en-US"/>
        </w:rPr>
        <w:t xml:space="preserve">48th year </w:t>
      </w:r>
      <w:r>
        <w:rPr>
          <w:color w:val="000000"/>
          <w:spacing w:val="0"/>
          <w:w w:val="100"/>
          <w:position w:val="0"/>
          <w:sz w:val="17"/>
          <w:szCs w:val="17"/>
          <w:shd w:val="clear" w:color="auto" w:fill="auto"/>
          <w:lang w:val="fr-FR" w:eastAsia="fr-FR" w:bidi="fr-FR"/>
        </w:rPr>
        <w:t xml:space="preserve">(1901); </w:t>
      </w:r>
      <w:r>
        <w:rPr>
          <w:color w:val="000000"/>
          <w:spacing w:val="0"/>
          <w:w w:val="100"/>
          <w:position w:val="0"/>
          <w:sz w:val="17"/>
          <w:szCs w:val="17"/>
          <w:shd w:val="clear" w:color="auto" w:fill="auto"/>
          <w:lang w:val="en-US" w:eastAsia="en-US" w:bidi="en-US"/>
        </w:rPr>
        <w:t xml:space="preserve">(21) </w:t>
      </w:r>
      <w:r>
        <w:rPr>
          <w:color w:val="000000"/>
          <w:spacing w:val="0"/>
          <w:w w:val="100"/>
          <w:position w:val="0"/>
          <w:sz w:val="17"/>
          <w:szCs w:val="17"/>
          <w:shd w:val="clear" w:color="auto" w:fill="auto"/>
          <w:lang w:val="fr-FR" w:eastAsia="fr-FR" w:bidi="fr-FR"/>
        </w:rPr>
        <w:t xml:space="preserve">W. J. Sollas, “ </w:t>
      </w:r>
      <w:r>
        <w:rPr>
          <w:i/>
          <w:iCs/>
          <w:color w:val="000000"/>
          <w:spacing w:val="0"/>
          <w:w w:val="100"/>
          <w:position w:val="0"/>
          <w:sz w:val="17"/>
          <w:szCs w:val="17"/>
          <w:shd w:val="clear" w:color="auto" w:fill="auto"/>
          <w:lang w:val="fr-FR" w:eastAsia="fr-FR" w:bidi="fr-FR"/>
        </w:rPr>
        <w:t>Tetractinellida ” (“ Challenger ” Reports,</w:t>
      </w:r>
      <w:r>
        <w:rPr>
          <w:color w:val="000000"/>
          <w:spacing w:val="0"/>
          <w:w w:val="100"/>
          <w:position w:val="0"/>
          <w:sz w:val="17"/>
          <w:szCs w:val="17"/>
          <w:shd w:val="clear" w:color="auto" w:fill="auto"/>
          <w:lang w:val="fr-FR" w:eastAsia="fr-FR" w:bidi="fr-FR"/>
        </w:rPr>
        <w:t xml:space="preserve"> “ </w:t>
      </w:r>
      <w:r>
        <w:rPr>
          <w:color w:val="000000"/>
          <w:spacing w:val="0"/>
          <w:w w:val="100"/>
          <w:position w:val="0"/>
          <w:sz w:val="17"/>
          <w:szCs w:val="17"/>
          <w:shd w:val="clear" w:color="auto" w:fill="auto"/>
          <w:lang w:val="en-US" w:eastAsia="en-US" w:bidi="en-US"/>
        </w:rPr>
        <w:t xml:space="preserve">Zoology,” </w:t>
      </w:r>
      <w:r>
        <w:rPr>
          <w:color w:val="000000"/>
          <w:spacing w:val="0"/>
          <w:w w:val="100"/>
          <w:position w:val="0"/>
          <w:sz w:val="17"/>
          <w:szCs w:val="17"/>
          <w:shd w:val="clear" w:color="auto" w:fill="auto"/>
          <w:lang w:val="fr-FR" w:eastAsia="fr-FR" w:bidi="fr-FR"/>
        </w:rPr>
        <w:t xml:space="preserve">vol. xxv.); </w:t>
      </w:r>
      <w:r>
        <w:rPr>
          <w:color w:val="000000"/>
          <w:spacing w:val="0"/>
          <w:w w:val="100"/>
          <w:position w:val="0"/>
          <w:sz w:val="17"/>
          <w:szCs w:val="17"/>
          <w:shd w:val="clear" w:color="auto" w:fill="auto"/>
          <w:lang w:val="en-US" w:eastAsia="en-US" w:bidi="en-US"/>
        </w:rPr>
        <w:t xml:space="preserve">(22) </w:t>
      </w:r>
      <w:r>
        <w:rPr>
          <w:color w:val="000000"/>
          <w:spacing w:val="0"/>
          <w:w w:val="100"/>
          <w:position w:val="0"/>
          <w:sz w:val="17"/>
          <w:szCs w:val="17"/>
          <w:shd w:val="clear" w:color="auto" w:fill="auto"/>
          <w:lang w:val="fr-FR" w:eastAsia="fr-FR" w:bidi="fr-FR"/>
        </w:rPr>
        <w:t xml:space="preserve">I. B. J. Sollas, </w:t>
      </w:r>
      <w:r>
        <w:rPr>
          <w:color w:val="000000"/>
          <w:spacing w:val="0"/>
          <w:w w:val="100"/>
          <w:position w:val="0"/>
          <w:sz w:val="17"/>
          <w:szCs w:val="17"/>
          <w:shd w:val="clear" w:color="auto" w:fill="auto"/>
          <w:lang w:val="en-US" w:eastAsia="en-US" w:bidi="en-US"/>
        </w:rPr>
        <w:t xml:space="preserve">“Sponges,” </w:t>
      </w:r>
      <w:r>
        <w:rPr>
          <w:i/>
          <w:iCs/>
          <w:color w:val="000000"/>
          <w:spacing w:val="0"/>
          <w:w w:val="100"/>
          <w:position w:val="0"/>
          <w:sz w:val="17"/>
          <w:szCs w:val="17"/>
          <w:shd w:val="clear" w:color="auto" w:fill="auto"/>
          <w:lang w:val="fr-FR" w:eastAsia="fr-FR" w:bidi="fr-FR"/>
        </w:rPr>
        <w:t xml:space="preserve">Cambridge </w:t>
      </w:r>
      <w:r>
        <w:rPr>
          <w:i/>
          <w:iCs/>
          <w:color w:val="000000"/>
          <w:spacing w:val="0"/>
          <w:w w:val="100"/>
          <w:position w:val="0"/>
          <w:sz w:val="17"/>
          <w:szCs w:val="17"/>
          <w:shd w:val="clear" w:color="auto" w:fill="auto"/>
          <w:lang w:val="en-US" w:eastAsia="en-US" w:bidi="en-US"/>
        </w:rPr>
        <w:t xml:space="preserve">Natural History </w:t>
      </w:r>
      <w:r>
        <w:rPr>
          <w:color w:val="000000"/>
          <w:spacing w:val="0"/>
          <w:w w:val="100"/>
          <w:position w:val="0"/>
          <w:sz w:val="17"/>
          <w:szCs w:val="17"/>
          <w:shd w:val="clear" w:color="auto" w:fill="auto"/>
          <w:lang w:val="en-US" w:eastAsia="en-US" w:bidi="en-US"/>
        </w:rPr>
        <w:t xml:space="preserve">(1906), vol. </w:t>
      </w:r>
      <w:r>
        <w:rPr>
          <w:color w:val="000000"/>
          <w:spacing w:val="0"/>
          <w:w w:val="100"/>
          <w:position w:val="0"/>
          <w:sz w:val="17"/>
          <w:szCs w:val="17"/>
          <w:shd w:val="clear" w:color="auto" w:fill="auto"/>
          <w:lang w:val="fr-FR" w:eastAsia="fr-FR" w:bidi="fr-FR"/>
        </w:rPr>
        <w:t xml:space="preserve">i.; </w:t>
      </w:r>
      <w:r>
        <w:rPr>
          <w:color w:val="000000"/>
          <w:spacing w:val="0"/>
          <w:w w:val="100"/>
          <w:position w:val="0"/>
          <w:sz w:val="17"/>
          <w:szCs w:val="17"/>
          <w:shd w:val="clear" w:color="auto" w:fill="auto"/>
          <w:lang w:val="en-US" w:eastAsia="en-US" w:bidi="en-US"/>
        </w:rPr>
        <w:t xml:space="preserve">(23) </w:t>
      </w:r>
      <w:r>
        <w:rPr>
          <w:color w:val="000000"/>
          <w:spacing w:val="0"/>
          <w:w w:val="100"/>
          <w:position w:val="0"/>
          <w:sz w:val="17"/>
          <w:szCs w:val="17"/>
          <w:shd w:val="clear" w:color="auto" w:fill="auto"/>
          <w:lang w:val="fr-FR" w:eastAsia="fr-FR" w:bidi="fr-FR"/>
        </w:rPr>
        <w:t xml:space="preserve">E. </w:t>
      </w:r>
      <w:r>
        <w:rPr>
          <w:color w:val="000000"/>
          <w:spacing w:val="0"/>
          <w:w w:val="100"/>
          <w:position w:val="0"/>
          <w:sz w:val="17"/>
          <w:szCs w:val="17"/>
          <w:shd w:val="clear" w:color="auto" w:fill="auto"/>
          <w:lang w:val="en-US" w:eastAsia="en-US" w:bidi="en-US"/>
        </w:rPr>
        <w:t xml:space="preserve">Topsent, </w:t>
      </w:r>
      <w:r>
        <w:rPr>
          <w:i/>
          <w:iCs/>
          <w:color w:val="000000"/>
          <w:spacing w:val="0"/>
          <w:w w:val="100"/>
          <w:position w:val="0"/>
          <w:sz w:val="17"/>
          <w:szCs w:val="17"/>
          <w:shd w:val="clear" w:color="auto" w:fill="auto"/>
          <w:lang w:val="fr-FR" w:eastAsia="fr-FR" w:bidi="fr-FR"/>
        </w:rPr>
        <w:t>Études monographiques des spongiaires de France</w:t>
      </w:r>
      <w:r>
        <w:rPr>
          <w:color w:val="000000"/>
          <w:spacing w:val="0"/>
          <w:w w:val="100"/>
          <w:position w:val="0"/>
          <w:sz w:val="17"/>
          <w:szCs w:val="17"/>
          <w:shd w:val="clear" w:color="auto" w:fill="auto"/>
          <w:lang w:val="fr-FR" w:eastAsia="fr-FR" w:bidi="fr-FR"/>
        </w:rPr>
        <w:t xml:space="preserve"> </w:t>
      </w:r>
      <w:r>
        <w:rPr>
          <w:color w:val="000000"/>
          <w:spacing w:val="0"/>
          <w:w w:val="100"/>
          <w:position w:val="0"/>
          <w:sz w:val="17"/>
          <w:szCs w:val="17"/>
          <w:shd w:val="clear" w:color="auto" w:fill="auto"/>
          <w:lang w:val="en-US" w:eastAsia="en-US" w:bidi="en-US"/>
        </w:rPr>
        <w:t xml:space="preserve">(Arch. </w:t>
      </w:r>
      <w:r>
        <w:rPr>
          <w:color w:val="000000"/>
          <w:spacing w:val="0"/>
          <w:w w:val="100"/>
          <w:position w:val="0"/>
          <w:sz w:val="17"/>
          <w:szCs w:val="17"/>
          <w:shd w:val="clear" w:color="auto" w:fill="auto"/>
          <w:lang w:val="fr-FR" w:eastAsia="fr-FR" w:bidi="fr-FR"/>
        </w:rPr>
        <w:t xml:space="preserve">Zool. </w:t>
      </w:r>
      <w:r>
        <w:rPr>
          <w:color w:val="000000"/>
          <w:spacing w:val="0"/>
          <w:w w:val="100"/>
          <w:position w:val="0"/>
          <w:sz w:val="17"/>
          <w:szCs w:val="17"/>
          <w:shd w:val="clear" w:color="auto" w:fill="auto"/>
          <w:lang w:val="en-US" w:eastAsia="en-US" w:bidi="en-US"/>
        </w:rPr>
        <w:t xml:space="preserve">Exp. (3), 1894, vol. ιi. </w:t>
      </w:r>
      <w:r>
        <w:rPr>
          <w:color w:val="000000"/>
          <w:spacing w:val="0"/>
          <w:w w:val="100"/>
          <w:position w:val="0"/>
          <w:sz w:val="17"/>
          <w:szCs w:val="17"/>
          <w:shd w:val="clear" w:color="auto" w:fill="auto"/>
          <w:lang w:val="fr-FR" w:eastAsia="fr-FR" w:bidi="fr-FR"/>
        </w:rPr>
        <w:t xml:space="preserve">&amp;c.); </w:t>
      </w:r>
      <w:r>
        <w:rPr>
          <w:color w:val="000000"/>
          <w:spacing w:val="0"/>
          <w:w w:val="100"/>
          <w:position w:val="0"/>
          <w:sz w:val="17"/>
          <w:szCs w:val="17"/>
          <w:shd w:val="clear" w:color="auto" w:fill="auto"/>
          <w:lang w:val="en-US" w:eastAsia="en-US" w:bidi="en-US"/>
        </w:rPr>
        <w:t xml:space="preserve">(24) </w:t>
      </w:r>
      <w:r>
        <w:rPr>
          <w:color w:val="000000"/>
          <w:spacing w:val="0"/>
          <w:w w:val="100"/>
          <w:position w:val="0"/>
          <w:sz w:val="17"/>
          <w:szCs w:val="17"/>
          <w:shd w:val="clear" w:color="auto" w:fill="auto"/>
          <w:lang w:val="fr-FR" w:eastAsia="fr-FR" w:bidi="fr-FR"/>
        </w:rPr>
        <w:t xml:space="preserve">idem, “ Contribution à l’étude des spongiaires de l'Atlantique Nord ” </w:t>
      </w:r>
      <w:r>
        <w:rPr>
          <w:i/>
          <w:iCs/>
          <w:color w:val="000000"/>
          <w:spacing w:val="0"/>
          <w:w w:val="100"/>
          <w:position w:val="0"/>
          <w:sz w:val="17"/>
          <w:szCs w:val="17"/>
          <w:shd w:val="clear" w:color="auto" w:fill="auto"/>
          <w:lang w:val="fr-FR" w:eastAsia="fr-FR" w:bidi="fr-FR"/>
        </w:rPr>
        <w:t>(Campagnes scientifiques du prince de Monoco,</w:t>
      </w:r>
      <w:r>
        <w:rPr>
          <w:color w:val="000000"/>
          <w:spacing w:val="0"/>
          <w:w w:val="100"/>
          <w:position w:val="0"/>
          <w:sz w:val="17"/>
          <w:szCs w:val="17"/>
          <w:shd w:val="clear" w:color="auto" w:fill="auto"/>
          <w:lang w:val="fr-FR" w:eastAsia="fr-FR" w:bidi="fr-FR"/>
        </w:rPr>
        <w:t xml:space="preserve"> </w:t>
      </w:r>
      <w:r>
        <w:rPr>
          <w:color w:val="000000"/>
          <w:spacing w:val="0"/>
          <w:w w:val="100"/>
          <w:position w:val="0"/>
          <w:sz w:val="17"/>
          <w:szCs w:val="17"/>
          <w:shd w:val="clear" w:color="auto" w:fill="auto"/>
          <w:lang w:val="en-US" w:eastAsia="en-US" w:bidi="en-US"/>
        </w:rPr>
        <w:t xml:space="preserve">1892, </w:t>
      </w:r>
      <w:r>
        <w:rPr>
          <w:color w:val="000000"/>
          <w:spacing w:val="0"/>
          <w:w w:val="100"/>
          <w:position w:val="0"/>
          <w:sz w:val="17"/>
          <w:szCs w:val="17"/>
          <w:shd w:val="clear" w:color="auto" w:fill="auto"/>
          <w:lang w:val="fr-FR" w:eastAsia="fr-FR" w:bidi="fr-FR"/>
        </w:rPr>
        <w:t xml:space="preserve">vol. ii.) ; </w:t>
      </w:r>
      <w:r>
        <w:rPr>
          <w:color w:val="000000"/>
          <w:spacing w:val="0"/>
          <w:w w:val="100"/>
          <w:position w:val="0"/>
          <w:sz w:val="17"/>
          <w:szCs w:val="17"/>
          <w:shd w:val="clear" w:color="auto" w:fill="auto"/>
          <w:lang w:val="en-US" w:eastAsia="en-US" w:bidi="en-US"/>
        </w:rPr>
        <w:t xml:space="preserve">(25) </w:t>
      </w:r>
      <w:r>
        <w:rPr>
          <w:color w:val="000000"/>
          <w:spacing w:val="0"/>
          <w:w w:val="100"/>
          <w:position w:val="0"/>
          <w:sz w:val="17"/>
          <w:szCs w:val="17"/>
          <w:shd w:val="clear" w:color="auto" w:fill="auto"/>
          <w:lang w:val="fr-FR" w:eastAsia="fr-FR" w:bidi="fr-FR"/>
        </w:rPr>
        <w:t xml:space="preserve">idem, “ Spongiaires des Açores ” </w:t>
      </w:r>
      <w:r>
        <w:rPr>
          <w:i/>
          <w:iCs/>
          <w:color w:val="000000"/>
          <w:spacing w:val="0"/>
          <w:w w:val="100"/>
          <w:position w:val="0"/>
          <w:sz w:val="17"/>
          <w:szCs w:val="17"/>
          <w:shd w:val="clear" w:color="auto" w:fill="auto"/>
          <w:lang w:val="fr-FR" w:eastAsia="fr-FR" w:bidi="fr-FR"/>
        </w:rPr>
        <w:t>(Campagnes scientifiques du prince de Monaco,</w:t>
      </w:r>
      <w:r>
        <w:rPr>
          <w:color w:val="000000"/>
          <w:spacing w:val="0"/>
          <w:w w:val="100"/>
          <w:position w:val="0"/>
          <w:sz w:val="17"/>
          <w:szCs w:val="17"/>
          <w:shd w:val="clear" w:color="auto" w:fill="auto"/>
          <w:lang w:val="fr-FR" w:eastAsia="fr-FR" w:bidi="fr-FR"/>
        </w:rPr>
        <w:t xml:space="preserve"> </w:t>
      </w:r>
      <w:r>
        <w:rPr>
          <w:color w:val="000000"/>
          <w:spacing w:val="0"/>
          <w:w w:val="100"/>
          <w:position w:val="0"/>
          <w:sz w:val="17"/>
          <w:szCs w:val="17"/>
          <w:shd w:val="clear" w:color="auto" w:fill="auto"/>
          <w:lang w:val="en-US" w:eastAsia="en-US" w:bidi="en-US"/>
        </w:rPr>
        <w:t xml:space="preserve">1904, </w:t>
      </w:r>
      <w:r>
        <w:rPr>
          <w:color w:val="000000"/>
          <w:spacing w:val="0"/>
          <w:w w:val="100"/>
          <w:position w:val="0"/>
          <w:sz w:val="17"/>
          <w:szCs w:val="17"/>
          <w:shd w:val="clear" w:color="auto" w:fill="auto"/>
          <w:lang w:val="fr-FR" w:eastAsia="fr-FR" w:bidi="fr-FR"/>
        </w:rPr>
        <w:t xml:space="preserve">vol. xxv.); </w:t>
      </w:r>
      <w:r>
        <w:rPr>
          <w:color w:val="000000"/>
          <w:spacing w:val="0"/>
          <w:w w:val="100"/>
          <w:position w:val="0"/>
          <w:sz w:val="17"/>
          <w:szCs w:val="17"/>
          <w:shd w:val="clear" w:color="auto" w:fill="auto"/>
          <w:lang w:val="en-US" w:eastAsia="en-US" w:bidi="en-US"/>
        </w:rPr>
        <w:t xml:space="preserve">(26) </w:t>
      </w:r>
      <w:r>
        <w:rPr>
          <w:color w:val="000000"/>
          <w:spacing w:val="0"/>
          <w:w w:val="100"/>
          <w:position w:val="0"/>
          <w:sz w:val="17"/>
          <w:szCs w:val="17"/>
          <w:shd w:val="clear" w:color="auto" w:fill="auto"/>
          <w:lang w:val="fr-FR" w:eastAsia="fr-FR" w:bidi="fr-FR"/>
        </w:rPr>
        <w:t xml:space="preserve">G. C. J. Vosmaer, “ Spongien,” </w:t>
      </w:r>
      <w:r>
        <w:rPr>
          <w:color w:val="000000"/>
          <w:spacing w:val="0"/>
          <w:w w:val="100"/>
          <w:position w:val="0"/>
          <w:sz w:val="17"/>
          <w:szCs w:val="17"/>
          <w:shd w:val="clear" w:color="auto" w:fill="auto"/>
          <w:lang w:val="en-US" w:eastAsia="en-US" w:bidi="en-US"/>
        </w:rPr>
        <w:t xml:space="preserve">Bronn's </w:t>
      </w:r>
      <w:r>
        <w:rPr>
          <w:i/>
          <w:iCs/>
          <w:color w:val="000000"/>
          <w:spacing w:val="0"/>
          <w:w w:val="100"/>
          <w:position w:val="0"/>
          <w:sz w:val="17"/>
          <w:szCs w:val="17"/>
          <w:shd w:val="clear" w:color="auto" w:fill="auto"/>
          <w:lang w:val="en-US" w:eastAsia="en-US" w:bidi="en-US"/>
        </w:rPr>
        <w:t xml:space="preserve">Klassen </w:t>
      </w:r>
      <w:r>
        <w:rPr>
          <w:i/>
          <w:iCs/>
          <w:color w:val="000000"/>
          <w:spacing w:val="0"/>
          <w:w w:val="100"/>
          <w:position w:val="0"/>
          <w:sz w:val="17"/>
          <w:szCs w:val="17"/>
          <w:shd w:val="clear" w:color="auto" w:fill="auto"/>
          <w:lang w:val="de-DE" w:eastAsia="de-DE" w:bidi="de-DE"/>
        </w:rPr>
        <w:t xml:space="preserve">und Ordnungen </w:t>
      </w:r>
      <w:r>
        <w:rPr>
          <w:i/>
          <w:iCs/>
          <w:color w:val="000000"/>
          <w:spacing w:val="0"/>
          <w:w w:val="100"/>
          <w:position w:val="0"/>
          <w:sz w:val="17"/>
          <w:szCs w:val="17"/>
          <w:shd w:val="clear" w:color="auto" w:fill="auto"/>
          <w:lang w:val="fr-FR" w:eastAsia="fr-FR" w:bidi="fr-FR"/>
        </w:rPr>
        <w:t xml:space="preserve">des </w:t>
      </w:r>
      <w:r>
        <w:rPr>
          <w:i/>
          <w:iCs/>
          <w:color w:val="000000"/>
          <w:spacing w:val="0"/>
          <w:w w:val="100"/>
          <w:position w:val="0"/>
          <w:sz w:val="17"/>
          <w:szCs w:val="17"/>
          <w:shd w:val="clear" w:color="auto" w:fill="auto"/>
          <w:lang w:val="de-DE" w:eastAsia="de-DE" w:bidi="de-DE"/>
        </w:rPr>
        <w:t xml:space="preserve">Thierreichs </w:t>
      </w:r>
      <w:r>
        <w:rPr>
          <w:color w:val="000000"/>
          <w:spacing w:val="0"/>
          <w:w w:val="100"/>
          <w:position w:val="0"/>
          <w:sz w:val="17"/>
          <w:szCs w:val="17"/>
          <w:shd w:val="clear" w:color="auto" w:fill="auto"/>
          <w:lang w:val="en-US" w:eastAsia="en-US" w:bidi="en-US"/>
        </w:rPr>
        <w:t xml:space="preserve">(1887), vol. ii. ; (27) </w:t>
      </w:r>
      <w:r>
        <w:rPr>
          <w:color w:val="000000"/>
          <w:spacing w:val="0"/>
          <w:w w:val="100"/>
          <w:position w:val="0"/>
          <w:sz w:val="17"/>
          <w:szCs w:val="17"/>
          <w:shd w:val="clear" w:color="auto" w:fill="auto"/>
          <w:lang w:val="fr-FR" w:eastAsia="fr-FR" w:bidi="fr-FR"/>
        </w:rPr>
        <w:t xml:space="preserve">H. </w:t>
      </w:r>
      <w:r>
        <w:rPr>
          <w:color w:val="000000"/>
          <w:spacing w:val="0"/>
          <w:w w:val="100"/>
          <w:position w:val="0"/>
          <w:sz w:val="17"/>
          <w:szCs w:val="17"/>
          <w:shd w:val="clear" w:color="auto" w:fill="auto"/>
          <w:lang w:val="en-US" w:eastAsia="en-US" w:bidi="en-US"/>
        </w:rPr>
        <w:t xml:space="preserve">V. Wilson, “ On the Feasibility of Raising Sponges from the Egg,” </w:t>
      </w:r>
      <w:r>
        <w:rPr>
          <w:i/>
          <w:iCs/>
          <w:color w:val="000000"/>
          <w:spacing w:val="0"/>
          <w:w w:val="100"/>
          <w:position w:val="0"/>
          <w:sz w:val="17"/>
          <w:szCs w:val="17"/>
          <w:shd w:val="clear" w:color="auto" w:fill="auto"/>
          <w:lang w:val="en-US" w:eastAsia="en-US" w:bidi="en-US"/>
        </w:rPr>
        <w:t xml:space="preserve">Bulletin of the United States Fish Commission </w:t>
      </w:r>
      <w:r>
        <w:rPr>
          <w:color w:val="000000"/>
          <w:spacing w:val="0"/>
          <w:w w:val="100"/>
          <w:position w:val="0"/>
          <w:sz w:val="17"/>
          <w:szCs w:val="17"/>
          <w:shd w:val="clear" w:color="auto" w:fill="auto"/>
          <w:lang w:val="en-US" w:eastAsia="en-US" w:bidi="en-US"/>
        </w:rPr>
        <w:t>(1897), vol. xvii.</w:t>
        <w:tab/>
        <w:t xml:space="preserve">(A. </w:t>
      </w:r>
      <w:r>
        <w:rPr>
          <w:smallCaps/>
          <w:color w:val="000000"/>
          <w:spacing w:val="0"/>
          <w:w w:val="100"/>
          <w:position w:val="0"/>
          <w:shd w:val="clear" w:color="auto" w:fill="auto"/>
          <w:lang w:val="en-US" w:eastAsia="en-US" w:bidi="en-US"/>
        </w:rPr>
        <w:t>De.)</w:t>
      </w:r>
    </w:p>
    <w:p>
      <w:pPr>
        <w:pStyle w:val="Style2"/>
        <w:keepNext w:val="0"/>
        <w:keepLines w:val="0"/>
        <w:widowControl w:val="0"/>
        <w:shd w:val="clear" w:color="auto" w:fill="auto"/>
        <w:bidi w:val="0"/>
        <w:spacing w:line="211" w:lineRule="auto"/>
        <w:ind w:left="0" w:firstLine="360"/>
        <w:jc w:val="left"/>
      </w:pPr>
      <w:r>
        <w:rPr>
          <w:b/>
          <w:bCs/>
          <w:color w:val="000000"/>
          <w:spacing w:val="0"/>
          <w:w w:val="100"/>
          <w:position w:val="0"/>
          <w:sz w:val="17"/>
          <w:szCs w:val="17"/>
          <w:shd w:val="clear" w:color="auto" w:fill="auto"/>
          <w:lang w:val="en-US" w:eastAsia="en-US" w:bidi="en-US"/>
        </w:rPr>
        <w:t xml:space="preserve">SPONSOR </w:t>
      </w:r>
      <w:r>
        <w:rPr>
          <w:color w:val="000000"/>
          <w:spacing w:val="0"/>
          <w:w w:val="100"/>
          <w:position w:val="0"/>
          <w:shd w:val="clear" w:color="auto" w:fill="auto"/>
          <w:lang w:val="en-US" w:eastAsia="en-US" w:bidi="en-US"/>
        </w:rPr>
        <w:t xml:space="preserve">(from Lat. </w:t>
      </w:r>
      <w:r>
        <w:rPr>
          <w:i/>
          <w:iCs/>
          <w:color w:val="000000"/>
          <w:spacing w:val="0"/>
          <w:w w:val="100"/>
          <w:position w:val="0"/>
          <w:shd w:val="clear" w:color="auto" w:fill="auto"/>
          <w:lang w:val="en-US" w:eastAsia="en-US" w:bidi="en-US"/>
        </w:rPr>
        <w:t>spondere,</w:t>
      </w:r>
      <w:r>
        <w:rPr>
          <w:color w:val="000000"/>
          <w:spacing w:val="0"/>
          <w:w w:val="100"/>
          <w:position w:val="0"/>
          <w:shd w:val="clear" w:color="auto" w:fill="auto"/>
          <w:lang w:val="en-US" w:eastAsia="en-US" w:bidi="en-US"/>
        </w:rPr>
        <w:t xml:space="preserve"> to promise), one who stands surety for another, especially in the rite of Christian baptism, a godfather or godmother. The practice originated not in infant baptism, but in the custom of requiring an adult pagan who offered himself for the rite to be accompanied by a Christian known to the bishop, who could vouch for the applicant and undertake his supervision, thus fulfilling the function performed in the Eleusinian mysteries by the </w:t>
      </w:r>
      <w:r>
        <w:rPr>
          <w:i/>
          <w:iCs/>
          <w:color w:val="000000"/>
          <w:spacing w:val="0"/>
          <w:w w:val="100"/>
          <w:position w:val="0"/>
          <w:shd w:val="clear" w:color="auto" w:fill="auto"/>
          <w:lang w:val="en-US" w:eastAsia="en-US" w:bidi="en-US"/>
        </w:rPr>
        <w:t>mystagogus.</w:t>
      </w:r>
      <w:r>
        <w:rPr>
          <w:color w:val="000000"/>
          <w:spacing w:val="0"/>
          <w:w w:val="100"/>
          <w:position w:val="0"/>
          <w:shd w:val="clear" w:color="auto" w:fill="auto"/>
          <w:lang w:val="en-US" w:eastAsia="en-US" w:bidi="en-US"/>
        </w:rPr>
        <w:t xml:space="preserve"> The Greek word for the person undertaking this function is </w:t>
      </w:r>
      <w:r>
        <w:rPr>
          <w:i/>
          <w:iCs/>
          <w:color w:val="000000"/>
          <w:spacing w:val="0"/>
          <w:w w:val="100"/>
          <w:position w:val="0"/>
          <w:shd w:val="clear" w:color="auto" w:fill="auto"/>
          <w:lang w:val="en-US" w:eastAsia="en-US" w:bidi="en-US"/>
        </w:rPr>
        <w:t>άv</w:t>
      </w:r>
      <w:r>
        <w:rPr>
          <w:i/>
          <w:iCs/>
          <w:color w:val="000000"/>
          <w:spacing w:val="0"/>
          <w:w w:val="100"/>
          <w:position w:val="0"/>
          <w:shd w:val="clear" w:color="auto" w:fill="auto"/>
          <w:lang w:val="el-GR" w:eastAsia="el-GR" w:bidi="el-GR"/>
        </w:rPr>
        <w:t>άδοχος</w:t>
      </w:r>
      <w:r>
        <w:rPr>
          <w:color w:val="000000"/>
          <w:spacing w:val="0"/>
          <w:w w:val="100"/>
          <w:position w:val="0"/>
          <w:shd w:val="clear" w:color="auto" w:fill="auto"/>
          <w:lang w:val="el-GR" w:eastAsia="el-GR" w:bidi="el-GR"/>
        </w:rPr>
        <w:t xml:space="preserve">, </w:t>
      </w:r>
      <w:r>
        <w:rPr>
          <w:color w:val="000000"/>
          <w:spacing w:val="0"/>
          <w:w w:val="100"/>
          <w:position w:val="0"/>
          <w:shd w:val="clear" w:color="auto" w:fill="auto"/>
          <w:lang w:val="en-US" w:eastAsia="en-US" w:bidi="en-US"/>
        </w:rPr>
        <w:t xml:space="preserve">to which the Latin </w:t>
      </w:r>
      <w:r>
        <w:rPr>
          <w:i/>
          <w:iCs/>
          <w:color w:val="000000"/>
          <w:spacing w:val="0"/>
          <w:w w:val="100"/>
          <w:position w:val="0"/>
          <w:shd w:val="clear" w:color="auto" w:fill="auto"/>
          <w:lang w:val="en-US" w:eastAsia="en-US" w:bidi="en-US"/>
        </w:rPr>
        <w:t>susceptor</w:t>
      </w:r>
      <w:r>
        <w:rPr>
          <w:color w:val="000000"/>
          <w:spacing w:val="0"/>
          <w:w w:val="100"/>
          <w:position w:val="0"/>
          <w:shd w:val="clear" w:color="auto" w:fill="auto"/>
          <w:lang w:val="en-US" w:eastAsia="en-US" w:bidi="en-US"/>
        </w:rPr>
        <w:t xml:space="preserve"> is equivalent. The word “ sponsor ” in this ecclesiastical sense occurs for the first time, but incidentally only, and as if it were already long familiar, in Tertullian’s treatise </w:t>
      </w:r>
      <w:r>
        <w:rPr>
          <w:i/>
          <w:iCs/>
          <w:color w:val="000000"/>
          <w:spacing w:val="0"/>
          <w:w w:val="100"/>
          <w:position w:val="0"/>
          <w:shd w:val="clear" w:color="auto" w:fill="auto"/>
          <w:lang w:val="en-US" w:eastAsia="en-US" w:bidi="en-US"/>
        </w:rPr>
        <w:t>De baptismo</w:t>
      </w:r>
      <w:r>
        <w:rPr>
          <w:color w:val="000000"/>
          <w:spacing w:val="0"/>
          <w:w w:val="100"/>
          <w:position w:val="0"/>
          <w:shd w:val="clear" w:color="auto" w:fill="auto"/>
          <w:lang w:val="en-US" w:eastAsia="en-US" w:bidi="en-US"/>
        </w:rPr>
        <w:t xml:space="preserve"> (ch. 18), where, arguing that in certain circumstances baptism may conveniently be postponed, especially in the case of little children, he asks, "For why is it necessary that the sponsors likewise should be thrust into danger, who both themselves by reason of mortality may fail to fulfil their promises, and may also be disappointed by the development of an evil disposition [in those for whom they become sponsors] ? ” The sponsors here alluded to may have been in many cases the actual parents, and even in the 5th century it was not felt to be inappropriate that they should be so; Augustine, indeed, in one passage appears to speak of it as a matter of course that parents should bring their children and answer for them “ tanquam fidejussores” </w:t>
      </w:r>
      <w:r>
        <w:rPr>
          <w:i/>
          <w:iCs/>
          <w:color w:val="000000"/>
          <w:spacing w:val="0"/>
          <w:w w:val="100"/>
          <w:position w:val="0"/>
          <w:shd w:val="clear" w:color="auto" w:fill="auto"/>
          <w:lang w:val="en-US" w:eastAsia="en-US" w:bidi="en-US"/>
        </w:rPr>
        <w:t>(Episl. . . . ad Bonif.</w:t>
      </w:r>
      <w:r>
        <w:rPr>
          <w:color w:val="000000"/>
          <w:spacing w:val="0"/>
          <w:w w:val="100"/>
          <w:position w:val="0"/>
          <w:shd w:val="clear" w:color="auto" w:fill="auto"/>
          <w:lang w:val="en-US" w:eastAsia="en-US" w:bidi="en-US"/>
        </w:rPr>
        <w:t xml:space="preserve"> 98), and the oldest Egyptian ritual bears similar testimony. Elsewhere Augustine contem</w:t>
        <w:softHyphen/>
        <w:t xml:space="preserve">plates the bringing of the children of slaves by their masters, and of course orphans and foundlings were brought by other benevolent persons. The comparatively early appearance, however, of such names as </w:t>
      </w:r>
      <w:r>
        <w:rPr>
          <w:i/>
          <w:iCs/>
          <w:color w:val="000000"/>
          <w:spacing w:val="0"/>
          <w:w w:val="100"/>
          <w:position w:val="0"/>
          <w:shd w:val="clear" w:color="auto" w:fill="auto"/>
          <w:lang w:val="en-US" w:eastAsia="en-US" w:bidi="en-US"/>
        </w:rPr>
        <w:t>compatres, commatres, propatres, promatres, patrini, matrinae,</w:t>
      </w:r>
      <w:r>
        <w:rPr>
          <w:color w:val="000000"/>
          <w:spacing w:val="0"/>
          <w:w w:val="100"/>
          <w:position w:val="0"/>
          <w:shd w:val="clear" w:color="auto" w:fill="auto"/>
          <w:lang w:val="en-US" w:eastAsia="en-US" w:bidi="en-US"/>
        </w:rPr>
        <w:t xml:space="preserve"> is of itself sufficient evidence, not only that the sponsorial relationship had come to be regarded as a very close one, but also that it was not usually assumed by the natural parents. How very close it was held to be is shown by the Justinian prohibition of marriage between godparents and godchildren. On the other hand, the anciently allowable practice of parents becoming sponsors for their own children, though gradually becoming obsolete, seems to have lingered until the 9th century, when it was at last formally prohibited by the council of Mainz (813). For a long time there was no fixed rule as to the necessary or allowable number of sponsors and sometimes the number actually assumed was large. By the council of Trent, however, it was decided that one only, or at most two, these not being of the same sex, should be permitted. The rubric of the Church of England according to which “ there shall be for every male child to be baptized two godfathers and one godmother, and for every female one godfather and two godmothers,” is not older than 1661; the sponsors are charged </w:t>
      </w:r>
      <w:r>
        <w:rPr>
          <w:color w:val="000000"/>
          <w:spacing w:val="0"/>
          <w:w w:val="100"/>
          <w:position w:val="0"/>
          <w:shd w:val="clear" w:color="auto" w:fill="auto"/>
          <w:lang w:val="en-US" w:eastAsia="en-US" w:bidi="en-US"/>
        </w:rPr>
        <w:t>with the duty of instructing the child, and in due time presenting it for confirmation, and in the Catechism the child is taught to say that he received his name from his “ godfathers and god</w:t>
        <w:softHyphen/>
        <w:t>mothers.” At the Reformation the Lutheran churches retained godfathers and godmothers, but the Reformed churches reverted to what they believed to be the more primitive rule, that in ordinary circumstances this function should be undertaken by a child’s proper parents. Most churches demand of sponsors that they be in full communion. In the Roman Catholic Church, priests, monks and nuns are disqualified from being sponsors, either “ because it might involve their entanglement in worldly affairs,” or more probably because every relationship of father</w:t>
        <w:softHyphen/>
        <w:t xml:space="preserve">hood or motherhood is felt to be in their case inappropriate. The spiritual relationship established between the sponsor and the baptized, and the sponsors and the parents of the baptized, constitutes an impediment to marriage (see </w:t>
      </w:r>
      <w:r>
        <w:rPr>
          <w:smallCaps/>
          <w:color w:val="000000"/>
          <w:spacing w:val="0"/>
          <w:w w:val="100"/>
          <w:position w:val="0"/>
          <w:shd w:val="clear" w:color="auto" w:fill="auto"/>
          <w:lang w:val="en-US" w:eastAsia="en-US" w:bidi="en-US"/>
        </w:rPr>
        <w:t xml:space="preserve">Marriage: </w:t>
      </w:r>
      <w:r>
        <w:rPr>
          <w:i/>
          <w:iCs/>
          <w:color w:val="000000"/>
          <w:spacing w:val="0"/>
          <w:w w:val="100"/>
          <w:position w:val="0"/>
          <w:shd w:val="clear" w:color="auto" w:fill="auto"/>
          <w:lang w:val="en-US" w:eastAsia="en-US" w:bidi="en-US"/>
        </w:rPr>
        <w:t>Canon Law).</w:t>
      </w:r>
    </w:p>
    <w:p>
      <w:pPr>
        <w:pStyle w:val="Style2"/>
        <w:keepNext w:val="0"/>
        <w:keepLines w:val="0"/>
        <w:widowControl w:val="0"/>
        <w:shd w:val="clear" w:color="auto" w:fill="auto"/>
        <w:bidi w:val="0"/>
        <w:spacing w:line="211" w:lineRule="auto"/>
        <w:ind w:left="0" w:firstLine="360"/>
        <w:jc w:val="left"/>
      </w:pPr>
      <w:r>
        <w:rPr>
          <w:b/>
          <w:bCs/>
          <w:color w:val="000000"/>
          <w:spacing w:val="0"/>
          <w:w w:val="100"/>
          <w:position w:val="0"/>
          <w:sz w:val="17"/>
          <w:szCs w:val="17"/>
          <w:shd w:val="clear" w:color="auto" w:fill="auto"/>
          <w:lang w:val="en-US" w:eastAsia="en-US" w:bidi="en-US"/>
        </w:rPr>
        <w:t xml:space="preserve">SPONTINI, GASPARO LUIGI PACIFICO </w:t>
      </w:r>
      <w:r>
        <w:rPr>
          <w:color w:val="000000"/>
          <w:spacing w:val="0"/>
          <w:w w:val="100"/>
          <w:position w:val="0"/>
          <w:shd w:val="clear" w:color="auto" w:fill="auto"/>
          <w:lang w:val="en-US" w:eastAsia="en-US" w:bidi="en-US"/>
        </w:rPr>
        <w:t>(1774-1851), Italian musical composer, was born on the 14th of November 1774 at Majolati (Ancona) in Italy. He was the son of a poor cobbler and was intended for the priesthood. His musical propensities however were not to be restrained, and he obtained lessons from Kapellmeister Quintiliani. In 1791 he went to the Conserva</w:t>
        <w:softHyphen/>
        <w:t xml:space="preserve">tors de' Turchini at Naples, where he was trained to write operatic music under Paisiello, Cimarosa and Fiori vanti. His first opera, </w:t>
      </w:r>
      <w:r>
        <w:rPr>
          <w:i/>
          <w:iCs/>
          <w:color w:val="000000"/>
          <w:spacing w:val="0"/>
          <w:w w:val="100"/>
          <w:position w:val="0"/>
          <w:shd w:val="clear" w:color="auto" w:fill="auto"/>
          <w:lang w:val="en-US" w:eastAsia="en-US" w:bidi="en-US"/>
        </w:rPr>
        <w:t>L’Eroismo ridicolo,</w:t>
      </w:r>
      <w:r>
        <w:rPr>
          <w:color w:val="000000"/>
          <w:spacing w:val="0"/>
          <w:w w:val="100"/>
          <w:position w:val="0"/>
          <w:shd w:val="clear" w:color="auto" w:fill="auto"/>
          <w:lang w:val="en-US" w:eastAsia="en-US" w:bidi="en-US"/>
        </w:rPr>
        <w:t xml:space="preserve"> was successfully produced in 1796, and by 1799 he had already written and produced eight operas. After becoming court composer to King Ferdinand of Naples in this year an intrigue with a princess of the court compelled Spontini to leave Naples in 1800. For the next few years he wrote operas in Rome and Venice until 1803 when he settled in Paris, where his reception was anything but flattering. His comic opera </w:t>
      </w:r>
      <w:r>
        <w:rPr>
          <w:i/>
          <w:iCs/>
          <w:color w:val="000000"/>
          <w:spacing w:val="0"/>
          <w:w w:val="100"/>
          <w:position w:val="0"/>
          <w:shd w:val="clear" w:color="auto" w:fill="auto"/>
          <w:lang w:val="en-US" w:eastAsia="en-US" w:bidi="en-US"/>
        </w:rPr>
        <w:t>Julie</w:t>
      </w:r>
      <w:r>
        <w:rPr>
          <w:color w:val="000000"/>
          <w:spacing w:val="0"/>
          <w:w w:val="100"/>
          <w:position w:val="0"/>
          <w:shd w:val="clear" w:color="auto" w:fill="auto"/>
          <w:lang w:val="en-US" w:eastAsia="en-US" w:bidi="en-US"/>
        </w:rPr>
        <w:t xml:space="preserve"> proved a failure; a successor, </w:t>
      </w:r>
      <w:r>
        <w:rPr>
          <w:i/>
          <w:iCs/>
          <w:color w:val="000000"/>
          <w:spacing w:val="0"/>
          <w:w w:val="100"/>
          <w:position w:val="0"/>
          <w:shd w:val="clear" w:color="auto" w:fill="auto"/>
          <w:lang w:val="en-US" w:eastAsia="en-US" w:bidi="en-US"/>
        </w:rPr>
        <w:t xml:space="preserve">La Petite maison, </w:t>
      </w:r>
      <w:r>
        <w:rPr>
          <w:color w:val="000000"/>
          <w:spacing w:val="0"/>
          <w:w w:val="100"/>
          <w:position w:val="0"/>
          <w:shd w:val="clear" w:color="auto" w:fill="auto"/>
          <w:lang w:val="en-US" w:eastAsia="en-US" w:bidi="en-US"/>
        </w:rPr>
        <w:t xml:space="preserve">was hissed. Undaunted by these misfortunes, he abandoned the light and somewhat frivolous style of his earlier works, and in </w:t>
      </w:r>
      <w:r>
        <w:rPr>
          <w:i/>
          <w:iCs/>
          <w:color w:val="000000"/>
          <w:spacing w:val="0"/>
          <w:w w:val="100"/>
          <w:position w:val="0"/>
          <w:shd w:val="clear" w:color="auto" w:fill="auto"/>
          <w:lang w:val="en-US" w:eastAsia="en-US" w:bidi="en-US"/>
        </w:rPr>
        <w:t>Milton,</w:t>
      </w:r>
      <w:r>
        <w:rPr>
          <w:color w:val="000000"/>
          <w:spacing w:val="0"/>
          <w:w w:val="100"/>
          <w:position w:val="0"/>
          <w:shd w:val="clear" w:color="auto" w:fill="auto"/>
          <w:lang w:val="en-US" w:eastAsia="en-US" w:bidi="en-US"/>
        </w:rPr>
        <w:t xml:space="preserve"> a one-act opera produced in 1804, achieved a real success. Spontini henceforth aimed at a very high ideal, and during the remainder of his life strove so earnestly to reach it that he frequently remodelled his passages five or six times before permitting them to be performed in public, and wearied his singers by introducing new improvements at every rehearsal. His first masterpiece was </w:t>
      </w:r>
      <w:r>
        <w:rPr>
          <w:i/>
          <w:iCs/>
          <w:color w:val="000000"/>
          <w:spacing w:val="0"/>
          <w:w w:val="100"/>
          <w:position w:val="0"/>
          <w:shd w:val="clear" w:color="auto" w:fill="auto"/>
          <w:lang w:val="en-US" w:eastAsia="en-US" w:bidi="en-US"/>
        </w:rPr>
        <w:t>La Vestale,</w:t>
      </w:r>
      <w:r>
        <w:rPr>
          <w:color w:val="000000"/>
          <w:spacing w:val="0"/>
          <w:w w:val="100"/>
          <w:position w:val="0"/>
          <w:shd w:val="clear" w:color="auto" w:fill="auto"/>
          <w:lang w:val="en-US" w:eastAsia="en-US" w:bidi="en-US"/>
        </w:rPr>
        <w:t xml:space="preserve"> completed in 1805, but kept from the stage through the opposition of a jealous clique until the 15th of December 1807, when it was produced at the </w:t>
      </w:r>
      <w:r>
        <w:rPr>
          <w:color w:val="000000"/>
          <w:spacing w:val="0"/>
          <w:w w:val="100"/>
          <w:position w:val="0"/>
          <w:shd w:val="clear" w:color="auto" w:fill="auto"/>
          <w:lang w:val="fr-FR" w:eastAsia="fr-FR" w:bidi="fr-FR"/>
        </w:rPr>
        <w:t xml:space="preserve">Académie, </w:t>
      </w:r>
      <w:r>
        <w:rPr>
          <w:color w:val="000000"/>
          <w:spacing w:val="0"/>
          <w:w w:val="100"/>
          <w:position w:val="0"/>
          <w:shd w:val="clear" w:color="auto" w:fill="auto"/>
          <w:lang w:val="en-US" w:eastAsia="en-US" w:bidi="en-US"/>
        </w:rPr>
        <w:t xml:space="preserve">and at once took rank with the finest works of its class. Spontini had abandoned the </w:t>
      </w:r>
      <w:r>
        <w:rPr>
          <w:i/>
          <w:iCs/>
          <w:color w:val="000000"/>
          <w:spacing w:val="0"/>
          <w:w w:val="100"/>
          <w:position w:val="0"/>
          <w:shd w:val="clear" w:color="auto" w:fill="auto"/>
          <w:lang w:val="en-US" w:eastAsia="en-US" w:bidi="en-US"/>
        </w:rPr>
        <w:t>parlando</w:t>
      </w:r>
      <w:r>
        <w:rPr>
          <w:color w:val="000000"/>
          <w:spacing w:val="0"/>
          <w:w w:val="100"/>
          <w:position w:val="0"/>
          <w:shd w:val="clear" w:color="auto" w:fill="auto"/>
          <w:lang w:val="en-US" w:eastAsia="en-US" w:bidi="en-US"/>
        </w:rPr>
        <w:t xml:space="preserve"> of Italian opera for an accompanied recitative; he had increased the strength of the orchestra and introduced the big chorus freely. His opera, </w:t>
      </w:r>
      <w:r>
        <w:rPr>
          <w:i/>
          <w:iCs/>
          <w:color w:val="000000"/>
          <w:spacing w:val="0"/>
          <w:w w:val="100"/>
          <w:position w:val="0"/>
          <w:shd w:val="clear" w:color="auto" w:fill="auto"/>
          <w:lang w:val="en-US" w:eastAsia="en-US" w:bidi="en-US"/>
        </w:rPr>
        <w:t>Ferdinand Cortez,</w:t>
      </w:r>
      <w:r>
        <w:rPr>
          <w:color w:val="000000"/>
          <w:spacing w:val="0"/>
          <w:w w:val="100"/>
          <w:position w:val="0"/>
          <w:shd w:val="clear" w:color="auto" w:fill="auto"/>
          <w:lang w:val="en-US" w:eastAsia="en-US" w:bidi="en-US"/>
        </w:rPr>
        <w:t xml:space="preserve"> was received with equal enthusiasm in 1809; but another, </w:t>
      </w:r>
      <w:r>
        <w:rPr>
          <w:i/>
          <w:iCs/>
          <w:color w:val="000000"/>
          <w:spacing w:val="0"/>
          <w:w w:val="100"/>
          <w:position w:val="0"/>
          <w:shd w:val="clear" w:color="auto" w:fill="auto"/>
          <w:lang w:val="en-US" w:eastAsia="en-US" w:bidi="en-US"/>
        </w:rPr>
        <w:t>Olympia,</w:t>
      </w:r>
      <w:r>
        <w:rPr>
          <w:color w:val="000000"/>
          <w:spacing w:val="0"/>
          <w:w w:val="100"/>
          <w:position w:val="0"/>
          <w:shd w:val="clear" w:color="auto" w:fill="auto"/>
          <w:lang w:val="en-US" w:eastAsia="en-US" w:bidi="en-US"/>
        </w:rPr>
        <w:t xml:space="preserve"> was much less warmly welcomed in 1819. Napoleon, whose approval of any work of art was at once a compliment to the artist and a serious imputation on the value of the work, professed immense admiration for Spontini</w:t>
      </w:r>
      <w:r>
        <w:rPr>
          <w:color w:val="000000"/>
          <w:spacing w:val="0"/>
          <w:w w:val="100"/>
          <w:position w:val="0"/>
          <w:shd w:val="clear" w:color="auto" w:fill="auto"/>
          <w:lang w:val="de-DE" w:eastAsia="de-DE" w:bidi="de-DE"/>
        </w:rPr>
        <w:t xml:space="preserve">’s </w:t>
      </w:r>
      <w:r>
        <w:rPr>
          <w:color w:val="000000"/>
          <w:spacing w:val="0"/>
          <w:w w:val="100"/>
          <w:position w:val="0"/>
          <w:shd w:val="clear" w:color="auto" w:fill="auto"/>
          <w:lang w:val="en-US" w:eastAsia="en-US" w:bidi="en-US"/>
        </w:rPr>
        <w:t>music.</w:t>
      </w:r>
    </w:p>
    <w:p>
      <w:pPr>
        <w:pStyle w:val="Style2"/>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 xml:space="preserve">Spontini had been appointed director of the Italian opera in 1810; but his quarrelsome and grasping disposition led to his summary dismissal two years later, and, though reinstated in 1814, he voluntarily resigned his post soon afterwards. He was in fact very ill fitted to act as director; yet on the 28th of May 1820, five months after the failure of </w:t>
      </w:r>
      <w:r>
        <w:rPr>
          <w:i/>
          <w:iCs/>
          <w:color w:val="000000"/>
          <w:spacing w:val="0"/>
          <w:w w:val="100"/>
          <w:position w:val="0"/>
          <w:shd w:val="clear" w:color="auto" w:fill="auto"/>
          <w:lang w:val="en-US" w:eastAsia="en-US" w:bidi="en-US"/>
        </w:rPr>
        <w:t>Olympia,</w:t>
      </w:r>
      <w:r>
        <w:rPr>
          <w:color w:val="000000"/>
          <w:spacing w:val="0"/>
          <w:w w:val="100"/>
          <w:position w:val="0"/>
          <w:shd w:val="clear" w:color="auto" w:fill="auto"/>
          <w:lang w:val="en-US" w:eastAsia="en-US" w:bidi="en-US"/>
        </w:rPr>
        <w:t xml:space="preserve"> he settled in Berlin by invitation of Frederick William III., commissioned to super</w:t>
        <w:softHyphen/>
        <w:t xml:space="preserve">intend all music performed at the Prussian court and compose two new grand operas, or three smaller ones, every three years. But he began by at once embroiling himself with the intendant, Count Brühl. Spontini's life at Berlin may be best described as a ceaseless struggle for precedence under circumstances which rendered its attainment impossible. Yet he did good work. </w:t>
      </w:r>
      <w:r>
        <w:rPr>
          <w:i/>
          <w:iCs/>
          <w:color w:val="000000"/>
          <w:spacing w:val="0"/>
          <w:w w:val="100"/>
          <w:position w:val="0"/>
          <w:shd w:val="clear" w:color="auto" w:fill="auto"/>
          <w:lang w:val="en-US" w:eastAsia="en-US" w:bidi="en-US"/>
        </w:rPr>
        <w:t>Die Vestalin, Ferdinand Cortez</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Olympia—</w:t>
      </w:r>
      <w:r>
        <w:rPr>
          <w:color w:val="000000"/>
          <w:spacing w:val="0"/>
          <w:w w:val="100"/>
          <w:position w:val="0"/>
          <w:shd w:val="clear" w:color="auto" w:fill="auto"/>
          <w:lang w:val="en-US" w:eastAsia="en-US" w:bidi="en-US"/>
        </w:rPr>
        <w:t xml:space="preserve">the last two entirely remodelled—were produced with great success in 1821. A new opera, </w:t>
      </w:r>
      <w:r>
        <w:rPr>
          <w:i/>
          <w:iCs/>
          <w:color w:val="000000"/>
          <w:spacing w:val="0"/>
          <w:w w:val="100"/>
          <w:position w:val="0"/>
          <w:shd w:val="clear" w:color="auto" w:fill="auto"/>
          <w:lang w:val="en-US" w:eastAsia="en-US" w:bidi="en-US"/>
        </w:rPr>
        <w:t>Nourmahal,</w:t>
      </w:r>
      <w:r>
        <w:rPr>
          <w:color w:val="000000"/>
          <w:spacing w:val="0"/>
          <w:w w:val="100"/>
          <w:position w:val="0"/>
          <w:shd w:val="clear" w:color="auto" w:fill="auto"/>
          <w:lang w:val="en-US" w:eastAsia="en-US" w:bidi="en-US"/>
        </w:rPr>
        <w:t xml:space="preserve"> founded on Moore’s </w:t>
      </w:r>
      <w:r>
        <w:rPr>
          <w:i/>
          <w:iCs/>
          <w:color w:val="000000"/>
          <w:spacing w:val="0"/>
          <w:w w:val="100"/>
          <w:position w:val="0"/>
          <w:shd w:val="clear" w:color="auto" w:fill="auto"/>
          <w:lang w:val="en-US" w:eastAsia="en-US" w:bidi="en-US"/>
        </w:rPr>
        <w:t>Lalla Rookh,</w:t>
      </w:r>
      <w:r>
        <w:rPr>
          <w:color w:val="000000"/>
          <w:spacing w:val="0"/>
          <w:w w:val="100"/>
          <w:position w:val="0"/>
          <w:shd w:val="clear" w:color="auto" w:fill="auto"/>
          <w:lang w:val="en-US" w:eastAsia="en-US" w:bidi="en-US"/>
        </w:rPr>
        <w:t xml:space="preserve"> was performed in 1822, and another, entitled </w:t>
      </w:r>
      <w:r>
        <w:rPr>
          <w:i/>
          <w:iCs/>
          <w:color w:val="000000"/>
          <w:spacing w:val="0"/>
          <w:w w:val="100"/>
          <w:position w:val="0"/>
          <w:shd w:val="clear" w:color="auto" w:fill="auto"/>
          <w:lang w:val="en-US" w:eastAsia="en-US" w:bidi="en-US"/>
        </w:rPr>
        <w:t>Alcidor,</w:t>
      </w:r>
      <w:r>
        <w:rPr>
          <w:color w:val="000000"/>
          <w:spacing w:val="0"/>
          <w:w w:val="100"/>
          <w:position w:val="0"/>
          <w:shd w:val="clear" w:color="auto" w:fill="auto"/>
          <w:lang w:val="en-US" w:eastAsia="en-US" w:bidi="en-US"/>
        </w:rPr>
        <w:t xml:space="preserve"> in 1825; and in 1826 Spontini began the composition of </w:t>
      </w:r>
      <w:r>
        <w:rPr>
          <w:i/>
          <w:iCs/>
          <w:color w:val="000000"/>
          <w:spacing w:val="0"/>
          <w:w w:val="100"/>
          <w:position w:val="0"/>
          <w:shd w:val="clear" w:color="auto" w:fill="auto"/>
          <w:lang w:val="en-US" w:eastAsia="en-US" w:bidi="en-US"/>
        </w:rPr>
        <w:t xml:space="preserve">Agnes </w:t>
      </w:r>
      <w:r>
        <w:rPr>
          <w:i/>
          <w:iCs/>
          <w:color w:val="000000"/>
          <w:spacing w:val="0"/>
          <w:w w:val="100"/>
          <w:position w:val="0"/>
          <w:shd w:val="clear" w:color="auto" w:fill="auto"/>
          <w:lang w:val="de-DE" w:eastAsia="de-DE" w:bidi="de-DE"/>
        </w:rPr>
        <w:t>von Hohen</w:t>
        <w:softHyphen/>
        <w:t>staufen,</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a work planned on a grander scale than any of his</w:t>
      </w:r>
    </w:p>
    <w:sectPr>
      <w:footnotePr>
        <w:pos w:val="pageBottom"/>
        <w:numFmt w:val="decimal"/>
        <w:numRestart w:val="continuous"/>
      </w:footnotePr>
      <w:pgSz w:w="12240" w:h="15840"/>
      <w:pgMar w:top="1130" w:left="846" w:right="815"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