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In the chapels of the various knightly orders the stalls are assigned to the members of the order, thus, in St. George’s Chapel, Windsor, are the stalls of the Knights of the Garter, in Henry VII.’s Chapel in Westminster Abbey are those of the Knights of the Bath, adorned with the stall plates emblazoned with the arms of the knight occupying the stall, above which is suspended his banner.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Architecturally and artistically considered, the stalls of a cathedral or church are a marked feature of the interior adorn</w:t>
        <w:softHyphen/>
        <w:t xml:space="preserve">ment. They are richly carved, and are frequently surmounted by canopies of tabernacle work. The seats generally can be folded back so as to allow the occupant to stand upright or kneel; beneath the seat, especially in monastic churches, is fixed a small bracket, a </w:t>
      </w:r>
      <w:r>
        <w:rPr>
          <w:i/>
          <w:iCs/>
          <w:color w:val="000000"/>
          <w:spacing w:val="0"/>
          <w:w w:val="100"/>
          <w:position w:val="0"/>
          <w:shd w:val="clear" w:color="auto" w:fill="auto"/>
          <w:lang w:val="en-US" w:eastAsia="en-US" w:bidi="en-US"/>
        </w:rPr>
        <w:t>miserere (q.v.),</w:t>
      </w:r>
      <w:r>
        <w:rPr>
          <w:color w:val="000000"/>
          <w:spacing w:val="0"/>
          <w:w w:val="100"/>
          <w:position w:val="0"/>
          <w:shd w:val="clear" w:color="auto" w:fill="auto"/>
          <w:lang w:val="en-US" w:eastAsia="en-US" w:bidi="en-US"/>
        </w:rPr>
        <w:t xml:space="preserve"> which affords a slight rest for the person while standing. Among beautiful specimens of carved stalls may be mentioned the Early Decorated stalls in Winchester Cathedral, the Early Perpendicular ones in Lincoln Minster, and the early 15th-century canopies in Norwich Cathedral. The stalls, especially the towering corner-stalls with their ornate carving filled with figures, in Amiens Cathedral are very fine; they date from 1508-1520.</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de-DE" w:eastAsia="de-DE" w:bidi="de-DE"/>
        </w:rPr>
        <w:t xml:space="preserve">STALLBAUM, </w:t>
      </w:r>
      <w:r>
        <w:rPr>
          <w:b/>
          <w:bCs/>
          <w:color w:val="000000"/>
          <w:spacing w:val="0"/>
          <w:w w:val="100"/>
          <w:position w:val="0"/>
          <w:sz w:val="17"/>
          <w:szCs w:val="17"/>
          <w:shd w:val="clear" w:color="auto" w:fill="auto"/>
          <w:lang w:val="en-US" w:eastAsia="en-US" w:bidi="en-US"/>
        </w:rPr>
        <w:t xml:space="preserve">JOHANN GOTTFRIED </w:t>
      </w:r>
      <w:r>
        <w:rPr>
          <w:color w:val="000000"/>
          <w:spacing w:val="0"/>
          <w:w w:val="100"/>
          <w:position w:val="0"/>
          <w:shd w:val="clear" w:color="auto" w:fill="auto"/>
          <w:lang w:val="en-US" w:eastAsia="en-US" w:bidi="en-US"/>
        </w:rPr>
        <w:t xml:space="preserve">(1793-1861), German classical scholar, was born at </w:t>
      </w:r>
      <w:r>
        <w:rPr>
          <w:color w:val="000000"/>
          <w:spacing w:val="0"/>
          <w:w w:val="100"/>
          <w:position w:val="0"/>
          <w:shd w:val="clear" w:color="auto" w:fill="auto"/>
          <w:lang w:val="de-DE" w:eastAsia="de-DE" w:bidi="de-DE"/>
        </w:rPr>
        <w:t xml:space="preserve">Zaasch, </w:t>
      </w:r>
      <w:r>
        <w:rPr>
          <w:color w:val="000000"/>
          <w:spacing w:val="0"/>
          <w:w w:val="100"/>
          <w:position w:val="0"/>
          <w:shd w:val="clear" w:color="auto" w:fill="auto"/>
          <w:lang w:val="en-US" w:eastAsia="en-US" w:bidi="en-US"/>
        </w:rPr>
        <w:t xml:space="preserve">near Delitzsch in Saxony, on the 25th of September 1793. From 1820 until his death on the 24th of January 1861 </w:t>
      </w:r>
      <w:r>
        <w:rPr>
          <w:color w:val="000000"/>
          <w:spacing w:val="0"/>
          <w:w w:val="100"/>
          <w:position w:val="0"/>
          <w:shd w:val="clear" w:color="auto" w:fill="auto"/>
          <w:lang w:val="de-DE" w:eastAsia="de-DE" w:bidi="de-DE"/>
        </w:rPr>
        <w:t xml:space="preserve">Stallbaum </w:t>
      </w:r>
      <w:r>
        <w:rPr>
          <w:color w:val="000000"/>
          <w:spacing w:val="0"/>
          <w:w w:val="100"/>
          <w:position w:val="0"/>
          <w:shd w:val="clear" w:color="auto" w:fill="auto"/>
          <w:lang w:val="en-US" w:eastAsia="en-US" w:bidi="en-US"/>
        </w:rPr>
        <w:t xml:space="preserve">was connected with the Thomasschule at Leipzig, from 1835 as rector. In 1840 he was also appointed extraordinary professor in the university. His reputation rests upon his work on Plato, of which he published two complete editions: the one (1821-1825) a revised text with critical apparatus, the other (1827-1860) containing exhaustive prolegomena and commentary written in excellent Latin, a fundamental contribution to Platonic exegesis. A separate edition of the </w:t>
      </w:r>
      <w:r>
        <w:rPr>
          <w:i/>
          <w:iCs/>
          <w:color w:val="000000"/>
          <w:spacing w:val="0"/>
          <w:w w:val="100"/>
          <w:position w:val="0"/>
          <w:shd w:val="clear" w:color="auto" w:fill="auto"/>
          <w:lang w:val="en-US" w:eastAsia="en-US" w:bidi="en-US"/>
        </w:rPr>
        <w:t>Parmenides</w:t>
      </w:r>
      <w:r>
        <w:rPr>
          <w:color w:val="000000"/>
          <w:spacing w:val="0"/>
          <w:w w:val="100"/>
          <w:position w:val="0"/>
          <w:shd w:val="clear" w:color="auto" w:fill="auto"/>
          <w:lang w:val="en-US" w:eastAsia="en-US" w:bidi="en-US"/>
        </w:rPr>
        <w:t xml:space="preserve"> (1839), with the commentary of Proclus, deserves mention. </w:t>
      </w:r>
      <w:r>
        <w:rPr>
          <w:color w:val="000000"/>
          <w:spacing w:val="0"/>
          <w:w w:val="100"/>
          <w:position w:val="0"/>
          <w:shd w:val="clear" w:color="auto" w:fill="auto"/>
          <w:lang w:val="de-DE" w:eastAsia="de-DE" w:bidi="de-DE"/>
        </w:rPr>
        <w:t xml:space="preserve">Stallbaum </w:t>
      </w:r>
      <w:r>
        <w:rPr>
          <w:color w:val="000000"/>
          <w:spacing w:val="0"/>
          <w:w w:val="100"/>
          <w:position w:val="0"/>
          <w:shd w:val="clear" w:color="auto" w:fill="auto"/>
          <w:lang w:val="en-US" w:eastAsia="en-US" w:bidi="en-US"/>
        </w:rPr>
        <w:t>also edited the com</w:t>
        <w:softHyphen/>
        <w:t xml:space="preserve">mentaries of Eustathius on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Odyssey,</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Grammaticae latinae institutiones</w:t>
      </w:r>
      <w:r>
        <w:rPr>
          <w:color w:val="000000"/>
          <w:spacing w:val="0"/>
          <w:w w:val="100"/>
          <w:position w:val="0"/>
          <w:shd w:val="clear" w:color="auto" w:fill="auto"/>
          <w:lang w:val="en-US" w:eastAsia="en-US" w:bidi="en-US"/>
        </w:rPr>
        <w:t xml:space="preserve"> of Thomas Ruddiman.</w:t>
      </w:r>
    </w:p>
    <w:p>
      <w:pPr>
        <w:pStyle w:val="Style2"/>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lang w:val="en-US" w:eastAsia="en-US" w:bidi="en-US"/>
        </w:rPr>
        <w:t xml:space="preserve">See C. H. Lipsius in the </w:t>
      </w:r>
      <w:r>
        <w:rPr>
          <w:i/>
          <w:iCs/>
          <w:color w:val="000000"/>
          <w:spacing w:val="0"/>
          <w:w w:val="100"/>
          <w:position w:val="0"/>
          <w:shd w:val="clear" w:color="auto" w:fill="auto"/>
          <w:lang w:val="en-US" w:eastAsia="en-US" w:bidi="en-US"/>
        </w:rPr>
        <w:t>Osterprogramm of the Thomasschule</w:t>
      </w:r>
      <w:r>
        <w:rPr>
          <w:color w:val="000000"/>
          <w:spacing w:val="0"/>
          <w:w w:val="100"/>
          <w:position w:val="0"/>
          <w:shd w:val="clear" w:color="auto" w:fill="auto"/>
          <w:lang w:val="en-US" w:eastAsia="en-US" w:bidi="en-US"/>
        </w:rPr>
        <w:t xml:space="preserve"> (1861) ; R. Hoche in </w:t>
      </w:r>
      <w:r>
        <w:rPr>
          <w:i/>
          <w:iCs/>
          <w:color w:val="000000"/>
          <w:spacing w:val="0"/>
          <w:w w:val="100"/>
          <w:position w:val="0"/>
          <w:shd w:val="clear" w:color="auto" w:fill="auto"/>
          <w:lang w:val="de-DE" w:eastAsia="de-DE" w:bidi="de-DE"/>
        </w:rPr>
        <w:t xml:space="preserve">Allgemeine deutsche </w:t>
      </w:r>
      <w:r>
        <w:rPr>
          <w:i/>
          <w:iCs/>
          <w:color w:val="000000"/>
          <w:spacing w:val="0"/>
          <w:w w:val="100"/>
          <w:position w:val="0"/>
          <w:shd w:val="clear" w:color="auto" w:fill="auto"/>
          <w:lang w:val="fr-FR" w:eastAsia="fr-FR" w:bidi="fr-FR"/>
        </w:rPr>
        <w:t>Biographie,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xxxv.</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STALYBRIDGE, a </w:t>
      </w:r>
      <w:r>
        <w:rPr>
          <w:color w:val="000000"/>
          <w:spacing w:val="0"/>
          <w:w w:val="100"/>
          <w:position w:val="0"/>
          <w:shd w:val="clear" w:color="auto" w:fill="auto"/>
          <w:lang w:val="en-US" w:eastAsia="en-US" w:bidi="en-US"/>
        </w:rPr>
        <w:t>municipal and parliamentary borough of Cheshire, England; the parliamentary borough extending into Lancashire,</w:t>
      </w:r>
      <w:r>
        <w:rPr>
          <w:color w:val="867674"/>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Pop. (1901), 27,673. It lies on the river Tame, in a hilly district, 6 m. E. of Manchester, and is served by the London &amp; North-Western, Great Central, and Lancashire &amp; Yorkshire railways. Immediately to the west lie the towns of Dukinfield, and across the river in Lancashire, Ashton-under- Lyne; while 2 m. south of Stalybridge is the town of Hyde. The whole district is thus very densely populated. Stalybridge is one of the oldest seats of the cotton manufacture in this locality, the first cotton mill having been erected in 1776, and the first steam engine in 1795. There are also machine works, nail works, paper mills, and iron and brass foundries. The development of the town is modern, as it was created a market town in 1828, incorporated in 1857, and created a parliamentary borough, returning one member, in 1867. It is under a mayor, 7 aidermen and 22 councillors. Area, 3130 acres.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STAMBOLOV, STEFAN </w:t>
      </w:r>
      <w:r>
        <w:rPr>
          <w:color w:val="000000"/>
          <w:spacing w:val="0"/>
          <w:w w:val="100"/>
          <w:position w:val="0"/>
          <w:shd w:val="clear" w:color="auto" w:fill="auto"/>
          <w:lang w:val="en-US" w:eastAsia="en-US" w:bidi="en-US"/>
        </w:rPr>
        <w:t>(1854-1895), Bulgarian statesman, was born on the 31st of January 1854 at Trnovo, the ancient Bulgarian capital, where his father kept a small inn. Under Turkish rule it was impossible to obtain a liberal education in Bulgaria, and young Stambolov, after attending the communal school in his native town, was apprenticed to a tailor. During the politico-religious agitation which preceded the establish</w:t>
        <w:softHyphen/>
        <w:t xml:space="preserve">ment of the Bulgarian exarchate in 1870, a number of Bulgarian youths were sent to Russia to be educated at the expense of the Imperial government; among them was Stambolov, who was entered at the seminary of Odessa in order to prepare for the priesthood. His wayward and independent nature, however, rebelled against the discipline of school life; he was expelled from the seminary on the ground of his association with Nihilists, and, making his way to Rumania, he entered into close relations with the Bulgarian revolutionary committees at Bucharest, Giurgevo and Galatz. In 1875, though only twenty years of </w:t>
      </w:r>
      <w:r>
        <w:rPr>
          <w:color w:val="000000"/>
          <w:spacing w:val="0"/>
          <w:w w:val="100"/>
          <w:position w:val="0"/>
          <w:shd w:val="clear" w:color="auto" w:fill="auto"/>
          <w:lang w:val="en-US" w:eastAsia="en-US" w:bidi="en-US"/>
        </w:rPr>
        <w:t>age, he led an insurrectionary movement at Nova Zagora in Bulgaria, and in the following year organized another rising at Orekhovitza. In the autumn of 1876 he took part as a volunteer in the Servian campaign against Turkey, and subsequently joined the Bulgarian irregular contingent with the Russian army in the war of 1877-78. After the signature of the Berlin Treaty in 1878 Stambolov settled at Trnovo, where he set up as a lawyer, and was soon elected deputy for his native town in the Sobranye. His force of character, his undoubted patriotism, his brilliant eloquence, and his disinclination to accept office—a rare charac</w:t>
        <w:softHyphen/>
        <w:t>teristic in a Bulgarian politician—combined to render him one of the most influential men in Bulgaria. The overthrow of the Zankoff ministry in 1884 was largely due to his influence, and in that year he was nominated to the presidency of the Sobranye. He held this important office for the next two years, a critical period in the national history. The revolution of Phflippopolis, which brought about the union of Bulgaria with eastern Rumelia, took place on the 18th of September 1885, and it was largely owing to Stambolov’s advice that Prince Alexander decided to identify himself with the movement. The war with Servia followed, and Stambolov, notwithstanding his official position, served as an ordinary soldier in the Bulgarian army. After the abduction of Prince Alexander by a band of military con</w:t>
        <w:softHyphen/>
        <w:t>spirators (Aug. 21, 1886) Stambolov, who was then at Trnovo, acted with characteristic promptitude and courage. In his capacity as president of the Sobranye he established a loyal government at Trnovo, issued a manifesto to the nation, nomi</w:t>
        <w:softHyphen/>
        <w:t xml:space="preserve">nated his brother-in-law, General Mutkurov, commander-in- chief of the army, and invited the prince to return to Bulgaria. The consequence of these measures was the downfall of the provisional government set up by the Russophil party at Sofia. On the abdication of Prince Alexander (Sept. 8) Stambolov became head of a council of regency, with Mutkurov and Karavelov as his colleagues; the latter, however, soon made way for Jivkov, a friend and fellow townsman of the first regent. Invested with supreme power at this perilous juncture, Stambolov displayed all the qualities of an able diplomatist and an energetic ruler. He succeeded in frustrating the mission of General Kaulbars, whom the Tsar despatched as special commissioner to Bulgaria; in suppressing a rising organized by Nabokov, a Russian officer, at Burgas; in quelling military revolts at Silistra and Rustchuk; in holding elections for the Grand Sobranye, despite the interdict of Russia, and in securing eventually the election of Prince Ferdinand of Coburg to the vacant throne (July 7, 1887). Under the newly-elected ruler he became prime minister and minister of the interior, and continued in office for nearly seven years (see </w:t>
      </w:r>
      <w:r>
        <w:rPr>
          <w:smallCaps/>
          <w:color w:val="000000"/>
          <w:spacing w:val="0"/>
          <w:w w:val="100"/>
          <w:position w:val="0"/>
          <w:shd w:val="clear" w:color="auto" w:fill="auto"/>
          <w:lang w:val="en-US" w:eastAsia="en-US" w:bidi="en-US"/>
        </w:rPr>
        <w:t>Bulgaria).</w:t>
      </w:r>
      <w:r>
        <w:rPr>
          <w:color w:val="000000"/>
          <w:spacing w:val="0"/>
          <w:w w:val="100"/>
          <w:position w:val="0"/>
          <w:shd w:val="clear" w:color="auto" w:fill="auto"/>
          <w:lang w:val="en-US" w:eastAsia="en-US" w:bidi="en-US"/>
        </w:rPr>
        <w:t xml:space="preserve"> The aim of his foreign policy was to obtain the recognition of Prince Ferdinand, and to win the support of the Triple Alliance and Great Britain against Russian interference in Bulgaria. In his dealings with Turkey, the suzerain power, he displayed considerable acuteness; he gained the confidence of the Sultan, whom he flattered and occasionally menaced; and aided by the ambassadors of the friendly powers, he succeeded in obtaining on two occasions important concessions for the Bulgarian episcopate in Macedonia (see </w:t>
      </w:r>
      <w:r>
        <w:rPr>
          <w:smallCaps/>
          <w:color w:val="000000"/>
          <w:spacing w:val="0"/>
          <w:w w:val="100"/>
          <w:position w:val="0"/>
          <w:shd w:val="clear" w:color="auto" w:fill="auto"/>
          <w:lang w:val="en-US" w:eastAsia="en-US" w:bidi="en-US"/>
        </w:rPr>
        <w:t xml:space="preserve">Macedonia), </w:t>
      </w:r>
      <w:r>
        <w:rPr>
          <w:color w:val="000000"/>
          <w:spacing w:val="0"/>
          <w:w w:val="100"/>
          <w:position w:val="0"/>
          <w:shd w:val="clear" w:color="auto" w:fill="auto"/>
          <w:lang w:val="en-US" w:eastAsia="en-US" w:bidi="en-US"/>
        </w:rPr>
        <w:t>while securing the tacit sanction of the Porte for the technically illegal situation in the principality. With the assistance of Austria-Hungary and Great Britain he negotiated large foreign loans which enabled him to develop the military strength of Bulgaria. Under Prince Ferdinand he pursued the same despotic methods of government which had characterized his administration during the regency; Major Panitza, who had organized a revolutionary conspiracy, was tried by court-martial and shot at Sofia in 1890; four of his political opponents were hanged at Sofia in the following year, and Karavelov was sen</w:t>
        <w:softHyphen/>
        <w:t>tenced to five years’ imprisonment. His tyrannical disposition was increased by the assassination of his colleague, Beltchev, in 1891, and of Dr Vlkovitch, the Bulgarian representative at Constantinople, in 1892, and eventually proved intolerable to Prince Ferdinand, who compelled him to resign in May 1894. He was now exposed to the vengeance of his enemies, and sub</w:t>
        <w:softHyphen/>
        <w:t>jected to various indignities and persecutions; he was refused</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