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of the strikes for the whole period was 25∙4 days, and of the lock-outs 84∙6 days.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More strikes were occasioned by demands for increase of wages than for any other one cause, 32∙24% of all strikes being for this cause, but this in combination with other causes attributable in whole or in part to demands for increase of wages brings the demands up to 40∙72%.</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next most fruitful cause of strikes is disagreement con</w:t>
        <w:softHyphen/>
        <w:t>cerning the recognition of the union and union rules. For this 18∙84% of strikes were declared, and both alone and combined with other causes produced 32∙35%. Objection to reduction of wages caused ιι∙90% while demands for reduction of hours alone and combined with other causes produced 9∙78% of strikes.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Of the total number of establishments involved in strikes 57∙91 % were involved for causes either in whole or in part due to demands for increase of wages. The most important cause of lock-outs during the twenty-five years was disputes concern</w:t>
        <w:softHyphen/>
        <w:t>ing the recognition of the union and union rules and employees’ organizations, which alone and combined with various causes, produced nearly one-half of all lock-outs and more than one- half of all establishments involved in lock-outs. The United States government’s account of losses from strikes is for the period from January 1881 to the 31st of December 1900, the five years from 1901 to 1905 inclusive not being included in that account. It is difficult to ascertain exactly the losses of em</w:t>
        <w:softHyphen/>
        <w:t>ployees and employers resulting from strikes and lock-outs. Differences may counterbalance each other, so that the results given below for the period named may be considered as fairly accurate.</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total loss to employees and employers alike in the estab</w:t>
        <w:softHyphen/>
        <w:t>lishments in which strikes and lock-outs occurred, for the period of twenty years, was thus $468,968,581. The number of establish</w:t>
        <w:softHyphen/>
        <w:t>ments involved in strikes during this period was 117,509, making an average wage loss of $2194 to employees in each establishment in which strikes occurred. The number of persons thrown out of employment by reason of strikes was 6,105,694, making an average loss of $42 to each person involved. the number of establishments involved in lock-outs was 9933, making an average loss of $4915 to employees in each establishment in which lock</w:t>
        <w:softHyphen/>
      </w:r>
    </w:p>
    <w:tbl>
      <w:tblPr>
        <w:tblOverlap w:val="never"/>
        <w:jc w:val="left"/>
        <w:tblLayout w:type="fixed"/>
      </w:tblPr>
      <w:tblGrid>
        <w:gridCol w:w="671"/>
        <w:gridCol w:w="1139"/>
        <w:gridCol w:w="1152"/>
        <w:gridCol w:w="1161"/>
        <w:gridCol w:w="1148"/>
        <w:gridCol w:w="1314"/>
        <w:gridCol w:w="1067"/>
      </w:tblGrid>
      <w:tr>
        <w:trPr>
          <w:trHeight w:val="293"/>
        </w:trPr>
        <w:tc>
          <w:tcPr>
            <w:vMerge w:val="restart"/>
            <w:tcBorders>
              <w:top w:val="single" w:sz="4"/>
              <w:left w:val="single" w:sz="4"/>
            </w:tcBorders>
            <w:shd w:val="clear" w:color="auto" w:fill="FBF8DE"/>
            <w:vAlign w:val="center"/>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Year.</w:t>
            </w:r>
          </w:p>
        </w:tc>
        <w:tc>
          <w:tcPr>
            <w:gridSpan w:val="3"/>
            <w:tcBorders>
              <w:top w:val="single" w:sz="4"/>
              <w:left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Strikes.</w:t>
            </w:r>
          </w:p>
        </w:tc>
        <w:tc>
          <w:tcPr>
            <w:gridSpan w:val="3"/>
            <w:tcBorders>
              <w:top w:val="single" w:sz="4"/>
              <w:left w:val="single" w:sz="4"/>
              <w:right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Lock-outs.</w:t>
            </w:r>
          </w:p>
        </w:tc>
      </w:tr>
      <w:tr>
        <w:trPr>
          <w:trHeight w:val="608"/>
        </w:trPr>
        <w:tc>
          <w:tcPr>
            <w:vMerge/>
            <w:tcBorders>
              <w:left w:val="single" w:sz="4"/>
            </w:tcBorders>
            <w:shd w:val="clear" w:color="auto" w:fill="FBF8DE"/>
            <w:vAlign w:val="center"/>
          </w:tcPr>
          <w:p>
            <w:pPr/>
          </w:p>
        </w:tc>
        <w:tc>
          <w:tcPr>
            <w:gridSpan w:val="2"/>
            <w:tcBorders>
              <w:top w:val="single" w:sz="4"/>
              <w:left w:val="single" w:sz="4"/>
            </w:tcBorders>
            <w:shd w:val="clear" w:color="auto" w:fill="FBF8DE"/>
            <w:vAlign w:val="center"/>
          </w:tcPr>
          <w:p>
            <w:pPr>
              <w:pStyle w:val="Style4"/>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To date when Strikers were re-employed or employed elsewhere.</w:t>
            </w:r>
          </w:p>
        </w:tc>
        <w:tc>
          <w:tcPr>
            <w:vMerge w:val="restart"/>
            <w:tcBorders>
              <w:top w:val="single" w:sz="4"/>
              <w:left w:val="single" w:sz="4"/>
            </w:tcBorders>
            <w:shd w:val="clear" w:color="auto" w:fill="FBF8DE"/>
            <w:vAlign w:val="center"/>
          </w:tcPr>
          <w:p>
            <w:pPr>
              <w:pStyle w:val="Style4"/>
              <w:keepNext w:val="0"/>
              <w:keepLines w:val="0"/>
              <w:widowControl w:val="0"/>
              <w:shd w:val="clear" w:color="auto" w:fill="auto"/>
              <w:bidi w:val="0"/>
              <w:spacing w:line="199" w:lineRule="auto"/>
              <w:ind w:left="0" w:firstLine="0"/>
              <w:jc w:val="left"/>
              <w:rPr>
                <w:sz w:val="16"/>
                <w:szCs w:val="16"/>
              </w:rPr>
            </w:pPr>
            <w:r>
              <w:rPr>
                <w:color w:val="000000"/>
                <w:spacing w:val="0"/>
                <w:w w:val="100"/>
                <w:position w:val="0"/>
                <w:sz w:val="16"/>
                <w:szCs w:val="16"/>
                <w:shd w:val="clear" w:color="auto" w:fill="auto"/>
                <w:lang w:val="en-US" w:eastAsia="en-US" w:bidi="en-US"/>
              </w:rPr>
              <w:t>Loss of Employers.</w:t>
            </w:r>
          </w:p>
        </w:tc>
        <w:tc>
          <w:tcPr>
            <w:gridSpan w:val="2"/>
            <w:tcBorders>
              <w:top w:val="single" w:sz="4"/>
              <w:left w:val="single" w:sz="4"/>
            </w:tcBorders>
            <w:shd w:val="clear" w:color="auto" w:fill="FBF8DE"/>
            <w:vAlign w:val="center"/>
          </w:tcPr>
          <w:p>
            <w:pPr>
              <w:pStyle w:val="Style4"/>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To date when Employees locked out were re-employed or employed elsewhere.</w:t>
            </w:r>
          </w:p>
        </w:tc>
        <w:tc>
          <w:tcPr>
            <w:vMerge w:val="restart"/>
            <w:tcBorders>
              <w:top w:val="single" w:sz="4"/>
              <w:left w:val="single" w:sz="4"/>
              <w:right w:val="single" w:sz="4"/>
            </w:tcBorders>
            <w:shd w:val="clear" w:color="auto" w:fill="FBF8DE"/>
            <w:vAlign w:val="center"/>
          </w:tcPr>
          <w:p>
            <w:pPr>
              <w:pStyle w:val="Style4"/>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Loss of Employers.</w:t>
            </w:r>
          </w:p>
        </w:tc>
      </w:tr>
      <w:tr>
        <w:trPr>
          <w:trHeight w:val="725"/>
        </w:trPr>
        <w:tc>
          <w:tcPr>
            <w:vMerge/>
            <w:tcBorders>
              <w:left w:val="single" w:sz="4"/>
            </w:tcBorders>
            <w:shd w:val="clear" w:color="auto" w:fill="FBF8DE"/>
            <w:vAlign w:val="center"/>
          </w:tcPr>
          <w:p>
            <w:pP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Wage-loss of Employees.</w:t>
            </w:r>
          </w:p>
        </w:tc>
        <w:tc>
          <w:tcPr>
            <w:tcBorders>
              <w:top w:val="single" w:sz="4"/>
              <w:left w:val="single" w:sz="4"/>
            </w:tcBorders>
            <w:shd w:val="clear" w:color="auto" w:fill="FBF8DE"/>
            <w:vAlign w:val="top"/>
          </w:tcPr>
          <w:p>
            <w:pPr>
              <w:pStyle w:val="Style4"/>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Assistance to Employees by Labour Organizations.</w:t>
            </w:r>
          </w:p>
        </w:tc>
        <w:tc>
          <w:tcPr>
            <w:vMerge/>
            <w:tcBorders>
              <w:left w:val="single" w:sz="4"/>
            </w:tcBorders>
            <w:shd w:val="clear" w:color="auto" w:fill="FBF8DE"/>
            <w:vAlign w:val="center"/>
          </w:tcPr>
          <w:p>
            <w:pP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194" w:lineRule="auto"/>
              <w:ind w:left="0" w:firstLine="0"/>
              <w:jc w:val="left"/>
              <w:rPr>
                <w:sz w:val="16"/>
                <w:szCs w:val="16"/>
              </w:rPr>
            </w:pPr>
            <w:r>
              <w:rPr>
                <w:color w:val="000000"/>
                <w:spacing w:val="0"/>
                <w:w w:val="100"/>
                <w:position w:val="0"/>
                <w:sz w:val="16"/>
                <w:szCs w:val="16"/>
                <w:shd w:val="clear" w:color="auto" w:fill="auto"/>
                <w:lang w:val="en-US" w:eastAsia="en-US" w:bidi="en-US"/>
              </w:rPr>
              <w:t>Wage-loss of Employees.</w:t>
            </w:r>
          </w:p>
        </w:tc>
        <w:tc>
          <w:tcPr>
            <w:tcBorders>
              <w:top w:val="single" w:sz="4"/>
              <w:left w:val="single" w:sz="4"/>
            </w:tcBorders>
            <w:shd w:val="clear" w:color="auto" w:fill="FBF8DE"/>
            <w:vAlign w:val="top"/>
          </w:tcPr>
          <w:p>
            <w:pPr>
              <w:pStyle w:val="Style4"/>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Assistance to Employees by Labour Organizations.</w:t>
            </w:r>
          </w:p>
        </w:tc>
        <w:tc>
          <w:tcPr>
            <w:vMerge/>
            <w:tcBorders>
              <w:left w:val="single" w:sz="4"/>
              <w:right w:val="single" w:sz="4"/>
            </w:tcBorders>
            <w:shd w:val="clear" w:color="auto" w:fill="FBF8DE"/>
            <w:vAlign w:val="center"/>
          </w:tcPr>
          <w:p>
            <w:pPr/>
          </w:p>
        </w:tc>
      </w:tr>
      <w:tr>
        <w:trPr>
          <w:trHeight w:val="221"/>
        </w:trPr>
        <w:tc>
          <w:tcPr>
            <w:tcBorders>
              <w:top w:val="single" w:sz="4"/>
              <w:left w:val="single" w:sz="4"/>
            </w:tcBorders>
            <w:shd w:val="clear" w:color="auto" w:fill="FBF8DE"/>
            <w:vAlign w:val="top"/>
          </w:tcPr>
          <w:p>
            <w:pPr>
              <w:widowControl w:val="0"/>
              <w:rPr>
                <w:sz w:val="10"/>
                <w:szCs w:val="10"/>
              </w:rPr>
            </w:pP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c>
          <w:tcPr>
            <w:tcBorders>
              <w:top w:val="single" w:sz="4"/>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w:t>
            </w:r>
          </w:p>
        </w:tc>
      </w:tr>
      <w:tr>
        <w:trPr>
          <w:trHeight w:val="153"/>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1881</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3,372,578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287,999</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1,919,483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18,519</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3,150</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6,960</w:t>
            </w:r>
          </w:p>
        </w:tc>
      </w:tr>
      <w:tr>
        <w:trPr>
          <w:trHeight w:val="149"/>
        </w:trPr>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1882</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9,864,228</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734,339</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4,269,094</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466,345</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47,668</w:t>
            </w:r>
          </w:p>
        </w:tc>
        <w:tc>
          <w:tcPr>
            <w:tcBorders>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112,382</w:t>
            </w:r>
          </w:p>
        </w:tc>
      </w:tr>
      <w:tr>
        <w:trPr>
          <w:trHeight w:val="149"/>
        </w:trPr>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1883</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6,274,480</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461,233</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4,696,027</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1,069,212</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102,253</w:t>
            </w:r>
          </w:p>
        </w:tc>
        <w:tc>
          <w:tcPr>
            <w:tcBorders>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297,097</w:t>
            </w:r>
          </w:p>
        </w:tc>
      </w:tr>
      <w:tr>
        <w:trPr>
          <w:trHeight w:val="144"/>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1884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7.666,717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407,871</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3,393,073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1,421,410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314,027</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640,847</w:t>
            </w:r>
          </w:p>
        </w:tc>
      </w:tr>
      <w:tr>
        <w:trPr>
          <w:trHeight w:val="153"/>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1885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10,663,248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465,827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4,388,893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901,173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89,488</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455,477</w:t>
            </w:r>
          </w:p>
        </w:tc>
      </w:tr>
      <w:tr>
        <w:trPr>
          <w:trHeight w:val="144"/>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1886</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14.992,453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1,122,130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12,357,808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4,281,058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549,452</w:t>
            </w:r>
          </w:p>
        </w:tc>
        <w:tc>
          <w:tcPr>
            <w:vMerge w:val="restart"/>
            <w:tcBorders>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1,949,498</w:t>
            </w:r>
          </w:p>
          <w:p>
            <w:pPr>
              <w:pStyle w:val="Style4"/>
              <w:keepNext w:val="0"/>
              <w:keepLines w:val="0"/>
              <w:widowControl w:val="0"/>
              <w:shd w:val="clear" w:color="auto" w:fill="auto"/>
              <w:bidi w:val="0"/>
              <w:spacing w:line="187" w:lineRule="auto"/>
              <w:ind w:left="0" w:firstLine="360"/>
              <w:jc w:val="left"/>
              <w:rPr>
                <w:sz w:val="16"/>
                <w:szCs w:val="16"/>
              </w:rPr>
            </w:pPr>
            <w:r>
              <w:rPr>
                <w:color w:val="000000"/>
                <w:spacing w:val="0"/>
                <w:w w:val="100"/>
                <w:position w:val="0"/>
                <w:sz w:val="16"/>
                <w:szCs w:val="16"/>
                <w:shd w:val="clear" w:color="auto" w:fill="auto"/>
                <w:lang w:val="en-US" w:eastAsia="en-US" w:bidi="en-US"/>
              </w:rPr>
              <w:t>2,819,736</w:t>
            </w:r>
          </w:p>
        </w:tc>
      </w:tr>
      <w:tr>
        <w:trPr>
          <w:trHeight w:val="149"/>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1887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16,560,534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1,121,554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6,698,495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4,233,700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155,846</w:t>
            </w:r>
          </w:p>
        </w:tc>
        <w:tc>
          <w:tcPr>
            <w:vMerge/>
            <w:tcBorders>
              <w:left w:val="single" w:sz="4"/>
              <w:right w:val="single" w:sz="4"/>
            </w:tcBorders>
            <w:shd w:val="clear" w:color="auto" w:fill="FBF8DE"/>
            <w:vAlign w:val="bottom"/>
          </w:tcPr>
          <w:p>
            <w:pPr/>
          </w:p>
        </w:tc>
      </w:tr>
      <w:tr>
        <w:trPr>
          <w:trHeight w:val="144"/>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1888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6,377.749</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1,752,668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6,509,017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1,100,057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85,931</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1,217,199</w:t>
            </w:r>
          </w:p>
        </w:tc>
      </w:tr>
      <w:tr>
        <w:trPr>
          <w:trHeight w:val="149"/>
        </w:trPr>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1889</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10,409,686</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592,017</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2,936,752</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1,379,722</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115,389</w:t>
            </w:r>
          </w:p>
        </w:tc>
        <w:tc>
          <w:tcPr>
            <w:tcBorders>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307,i25</w:t>
            </w:r>
          </w:p>
        </w:tc>
      </w:tr>
      <w:tr>
        <w:trPr>
          <w:trHeight w:val="149"/>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1890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13.875.338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910,285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5,135,404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957,966</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77,210</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486,258</w:t>
            </w:r>
          </w:p>
        </w:tc>
      </w:tr>
      <w:tr>
        <w:trPr>
          <w:trHeight w:val="144"/>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1891</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14,801,505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1,132,557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6,176,688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883,709</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50,195</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616,888</w:t>
            </w:r>
          </w:p>
        </w:tc>
      </w:tr>
      <w:tr>
        <w:trPr>
          <w:trHeight w:val="144"/>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1892</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10,772,622</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833,874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5.145.691</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2,856,013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537,684</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1,695,080</w:t>
            </w:r>
          </w:p>
        </w:tc>
      </w:tr>
      <w:tr>
        <w:trPr>
          <w:trHeight w:val="153"/>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1893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9,938,048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563,183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3,406,195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6,659,401</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364,268</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1,034,420</w:t>
            </w:r>
          </w:p>
        </w:tc>
      </w:tr>
      <w:tr>
        <w:trPr>
          <w:trHeight w:val="144"/>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1894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37.145,532</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931,052</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18,982,129</w:t>
            </w:r>
          </w:p>
        </w:tc>
        <w:tc>
          <w:tcPr>
            <w:vMerge w:val="restart"/>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2,022,769</w:t>
            </w:r>
          </w:p>
          <w:p>
            <w:pPr>
              <w:pStyle w:val="Style4"/>
              <w:keepNext w:val="0"/>
              <w:keepLines w:val="0"/>
              <w:widowControl w:val="0"/>
              <w:shd w:val="clear" w:color="auto" w:fill="auto"/>
              <w:bidi w:val="0"/>
              <w:spacing w:line="228" w:lineRule="auto"/>
              <w:ind w:left="0" w:firstLine="360"/>
              <w:jc w:val="left"/>
              <w:rPr>
                <w:sz w:val="16"/>
                <w:szCs w:val="16"/>
              </w:rPr>
            </w:pPr>
            <w:r>
              <w:rPr>
                <w:color w:val="000000"/>
                <w:spacing w:val="0"/>
                <w:w w:val="100"/>
                <w:position w:val="0"/>
                <w:sz w:val="16"/>
                <w:szCs w:val="16"/>
                <w:shd w:val="clear" w:color="auto" w:fill="auto"/>
                <w:lang w:val="en-US" w:eastAsia="en-US" w:bidi="en-US"/>
              </w:rPr>
              <w:t>791,703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160,244</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982,584</w:t>
            </w:r>
          </w:p>
        </w:tc>
      </w:tr>
      <w:tr>
        <w:trPr>
          <w:trHeight w:val="149"/>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1895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13,044,830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5"/>
                <w:szCs w:val="15"/>
              </w:rPr>
            </w:pPr>
            <w:r>
              <w:rPr>
                <w:smallCaps/>
                <w:color w:val="000000"/>
                <w:spacing w:val="0"/>
                <w:w w:val="100"/>
                <w:position w:val="0"/>
                <w:sz w:val="15"/>
                <w:szCs w:val="15"/>
                <w:shd w:val="clear" w:color="auto" w:fill="auto"/>
                <w:lang w:val="en-US" w:eastAsia="en-US" w:bidi="en-US"/>
              </w:rPr>
              <w:t>559,165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5,072,282</w:t>
            </w:r>
          </w:p>
        </w:tc>
        <w:tc>
          <w:tcPr>
            <w:vMerge/>
            <w:tcBorders>
              <w:left w:val="single" w:sz="4"/>
            </w:tcBorders>
            <w:shd w:val="clear" w:color="auto" w:fill="FBF8DE"/>
            <w:vAlign w:val="top"/>
          </w:tcPr>
          <w:p>
            <w:pP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67,701</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584,155</w:t>
            </w:r>
          </w:p>
        </w:tc>
      </w:tr>
      <w:tr>
        <w:trPr>
          <w:trHeight w:val="149"/>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1896</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11,098,207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462,165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5,304.235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690,945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61,355</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357,535</w:t>
            </w:r>
          </w:p>
        </w:tc>
      </w:tr>
      <w:tr>
        <w:trPr>
          <w:trHeight w:val="144"/>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1897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17,468,904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721,164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4,868,687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583,606</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47,326</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298,044</w:t>
            </w:r>
          </w:p>
        </w:tc>
      </w:tr>
      <w:tr>
        <w:trPr>
          <w:trHeight w:val="153"/>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1898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10,037,284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585,228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4,596,462</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880,461</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47,098</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239,403</w:t>
            </w:r>
          </w:p>
        </w:tc>
      </w:tr>
      <w:tr>
        <w:trPr>
          <w:trHeight w:val="149"/>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1899</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15,157,965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1,096,030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7,443.407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5"/>
                <w:szCs w:val="15"/>
              </w:rPr>
            </w:pPr>
            <w:r>
              <w:rPr>
                <w:smallCaps/>
                <w:color w:val="000000"/>
                <w:spacing w:val="0"/>
                <w:w w:val="100"/>
                <w:position w:val="0"/>
                <w:sz w:val="15"/>
                <w:szCs w:val="15"/>
                <w:shd w:val="clear" w:color="auto" w:fill="auto"/>
                <w:lang w:val="en-US" w:eastAsia="en-US" w:bidi="en-US"/>
              </w:rPr>
              <w:t>1,485,174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126,957</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379,365</w:t>
            </w:r>
          </w:p>
        </w:tc>
      </w:tr>
      <w:tr>
        <w:trPr>
          <w:trHeight w:val="212"/>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1900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18,341,570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1,434,452</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9,431.299</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16,136,802</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448,219</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5.447.930</w:t>
            </w:r>
          </w:p>
        </w:tc>
      </w:tr>
      <w:tr>
        <w:trPr>
          <w:trHeight w:val="266"/>
        </w:trPr>
        <w:tc>
          <w:tcPr>
            <w:tcBorders>
              <w:top w:val="single" w:sz="4"/>
              <w:left w:val="single" w:sz="4"/>
              <w:bottom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257,863,478</w:t>
            </w:r>
          </w:p>
        </w:tc>
        <w:tc>
          <w:tcPr>
            <w:tcBorders>
              <w:top w:val="single" w:sz="4"/>
              <w:left w:val="single" w:sz="4"/>
              <w:bottom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16,174.793</w:t>
            </w:r>
          </w:p>
        </w:tc>
        <w:tc>
          <w:tcPr>
            <w:tcBorders>
              <w:top w:val="single" w:sz="4"/>
              <w:left w:val="single" w:sz="4"/>
              <w:bottom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122,731,121</w:t>
            </w:r>
          </w:p>
        </w:tc>
        <w:tc>
          <w:tcPr>
            <w:tcBorders>
              <w:top w:val="single" w:sz="4"/>
              <w:left w:val="single" w:sz="4"/>
              <w:bottom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48,819,745</w:t>
            </w:r>
          </w:p>
        </w:tc>
        <w:tc>
          <w:tcPr>
            <w:tcBorders>
              <w:top w:val="single" w:sz="4"/>
              <w:left w:val="single" w:sz="4"/>
              <w:bottom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5"/>
                <w:szCs w:val="15"/>
              </w:rPr>
            </w:pPr>
            <w:r>
              <w:rPr>
                <w:smallCaps/>
                <w:color w:val="000000"/>
                <w:spacing w:val="0"/>
                <w:w w:val="100"/>
                <w:position w:val="0"/>
                <w:sz w:val="15"/>
                <w:szCs w:val="15"/>
                <w:shd w:val="clear" w:color="auto" w:fill="auto"/>
                <w:lang w:val="en-US" w:eastAsia="en-US" w:bidi="en-US"/>
              </w:rPr>
              <w:t>3,451,461</w:t>
            </w:r>
          </w:p>
        </w:tc>
        <w:tc>
          <w:tcPr>
            <w:tcBorders>
              <w:top w:val="single" w:sz="4"/>
              <w:left w:val="single" w:sz="4"/>
              <w:bottom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19,927,983</w:t>
            </w:r>
          </w:p>
        </w:tc>
      </w:tr>
    </w:tbl>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outs occurred, while the number of employees thrown out was 504,307, making an average loss of $97 to each person involved. Combining the figures for strikes and lock-outs, it is seen that</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the number of establishments involved was 127</w:t>
      </w:r>
      <w:r>
        <w:rPr>
          <w:color w:val="000000"/>
          <w:spacing w:val="0"/>
          <w:w w:val="100"/>
          <w:position w:val="0"/>
          <w:shd w:val="clear" w:color="auto" w:fill="auto"/>
          <w:vertAlign w:val="subscript"/>
          <w:lang w:val="en-US" w:eastAsia="en-US" w:bidi="en-US"/>
        </w:rPr>
        <w:t>j</w:t>
      </w:r>
      <w:r>
        <w:rPr>
          <w:color w:val="000000"/>
          <w:spacing w:val="0"/>
          <w:w w:val="100"/>
          <w:position w:val="0"/>
          <w:shd w:val="clear" w:color="auto" w:fill="auto"/>
          <w:lang w:val="en-US" w:eastAsia="en-US" w:bidi="en-US"/>
        </w:rPr>
        <w:t>442, while 6,610,001 persons were thrown out of employment. These figures show an average wage-loss of $2406 to the employees in each establishment, and an average loss of $46 to each person involved. The assistance given to strikers by labour organizations during the period was $16,174,793; to those involved in lock-outs, $3,451,461, or a total of $19,626,254. This sum represents but 6∙40% of the total wage-loss incurred in strikes and lock-outs, and is probably too low. Much assist</w:t>
        <w:softHyphen/>
        <w:t>ance was also furnished by outside sympathizers, the amount of which cannot be readily ascertained. The total loss to the establishments or firms involved in strikes and lock-outs during this period was $142,659,104.</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states of Illinois, Massachusetts, New York, Ohio and Pennsylvania, being the leading manufacturing states, necessarily experienced the largest number of strikes. Out of 117,509 establishments having strikes during the period named, 87,878, or 74∙78% of the whole, were in these five states; and out of 9933 establishments having lock-outs, 8424, or 84∙81% were in these states. In 1900 these states contained 45∙02% of all the manufacturing establishments in the United States, and employed 55∙15% of the entire capital invested in mechanical industries.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A significant feature of the report for the twenty-five year period relates to efforts to settle strikes, during the years 1901 to 1905 inclusive, a feature which had not been embodied before. The results are shown in the following table:—</w:t>
      </w:r>
    </w:p>
    <w:tbl>
      <w:tblPr>
        <w:tblOverlap w:val="never"/>
        <w:jc w:val="left"/>
        <w:tblLayout w:type="fixed"/>
      </w:tblPr>
      <w:tblGrid>
        <w:gridCol w:w="536"/>
        <w:gridCol w:w="675"/>
        <w:gridCol w:w="752"/>
        <w:gridCol w:w="756"/>
        <w:gridCol w:w="513"/>
        <w:gridCol w:w="756"/>
        <w:gridCol w:w="747"/>
      </w:tblGrid>
      <w:tr>
        <w:trPr>
          <w:trHeight w:val="221"/>
        </w:trPr>
        <w:tc>
          <w:tcPr>
            <w:gridSpan w:val="4"/>
            <w:tcBorders>
              <w:top w:val="single" w:sz="4"/>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2"/>
                <w:szCs w:val="12"/>
              </w:rPr>
            </w:pPr>
            <w:r>
              <w:rPr>
                <w:color w:val="625254"/>
                <w:spacing w:val="0"/>
                <w:w w:val="100"/>
                <w:position w:val="0"/>
                <w:sz w:val="12"/>
                <w:szCs w:val="12"/>
                <w:shd w:val="clear" w:color="auto" w:fill="auto"/>
                <w:lang w:val="en-US" w:eastAsia="en-US" w:bidi="en-US"/>
              </w:rPr>
              <w:t>Strikes.</w:t>
            </w:r>
          </w:p>
        </w:tc>
        <w:tc>
          <w:tcPr>
            <w:gridSpan w:val="3"/>
            <w:tcBorders>
              <w:top w:val="single" w:sz="4"/>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2"/>
                <w:szCs w:val="12"/>
              </w:rPr>
            </w:pPr>
            <w:r>
              <w:rPr>
                <w:color w:val="625254"/>
                <w:spacing w:val="0"/>
                <w:w w:val="100"/>
                <w:position w:val="0"/>
                <w:sz w:val="12"/>
                <w:szCs w:val="12"/>
                <w:shd w:val="clear" w:color="auto" w:fill="auto"/>
                <w:lang w:val="en-US" w:eastAsia="en-US" w:bidi="en-US"/>
              </w:rPr>
              <w:t>Lock-outs.</w:t>
            </w:r>
          </w:p>
        </w:tc>
      </w:tr>
      <w:tr>
        <w:trPr>
          <w:trHeight w:val="648"/>
        </w:trPr>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2"/>
                <w:szCs w:val="12"/>
              </w:rPr>
            </w:pPr>
            <w:r>
              <w:rPr>
                <w:color w:val="625254"/>
                <w:spacing w:val="0"/>
                <w:w w:val="100"/>
                <w:position w:val="0"/>
                <w:sz w:val="12"/>
                <w:szCs w:val="12"/>
                <w:shd w:val="clear" w:color="auto" w:fill="auto"/>
                <w:lang w:val="en-US" w:eastAsia="en-US" w:bidi="en-US"/>
              </w:rPr>
              <w:t>Year.</w:t>
            </w: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Number.</w:t>
            </w: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202" w:lineRule="auto"/>
              <w:ind w:left="0" w:firstLine="0"/>
              <w:jc w:val="left"/>
              <w:rPr>
                <w:sz w:val="12"/>
                <w:szCs w:val="12"/>
              </w:rPr>
            </w:pPr>
            <w:r>
              <w:rPr>
                <w:color w:val="000000"/>
                <w:spacing w:val="0"/>
                <w:w w:val="100"/>
                <w:position w:val="0"/>
                <w:sz w:val="12"/>
                <w:szCs w:val="12"/>
                <w:shd w:val="clear" w:color="auto" w:fill="auto"/>
                <w:lang w:val="en-US" w:eastAsia="en-US" w:bidi="en-US"/>
              </w:rPr>
              <w:t>Number settled by joint agree</w:t>
              <w:softHyphen/>
              <w:t>ment.</w:t>
            </w: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197" w:lineRule="auto"/>
              <w:ind w:left="0" w:firstLine="0"/>
              <w:jc w:val="left"/>
              <w:rPr>
                <w:sz w:val="12"/>
                <w:szCs w:val="12"/>
              </w:rPr>
            </w:pPr>
            <w:r>
              <w:rPr>
                <w:color w:val="000000"/>
                <w:spacing w:val="0"/>
                <w:w w:val="100"/>
                <w:position w:val="0"/>
                <w:sz w:val="12"/>
                <w:szCs w:val="12"/>
                <w:shd w:val="clear" w:color="auto" w:fill="auto"/>
                <w:lang w:val="en-US" w:eastAsia="en-US" w:bidi="en-US"/>
              </w:rPr>
              <w:t>Number settled by arbítratioo.</w:t>
            </w: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197" w:lineRule="auto"/>
              <w:ind w:left="0" w:firstLine="0"/>
              <w:jc w:val="left"/>
              <w:rPr>
                <w:sz w:val="12"/>
                <w:szCs w:val="12"/>
              </w:rPr>
            </w:pPr>
            <w:r>
              <w:rPr>
                <w:color w:val="625254"/>
                <w:spacing w:val="0"/>
                <w:w w:val="100"/>
                <w:position w:val="0"/>
                <w:sz w:val="12"/>
                <w:szCs w:val="12"/>
                <w:shd w:val="clear" w:color="auto" w:fill="auto"/>
                <w:lang w:val="en-US" w:eastAsia="en-US" w:bidi="en-US"/>
              </w:rPr>
              <w:t>Num</w:t>
              <w:softHyphen/>
              <w:t>ber.</w:t>
            </w:r>
          </w:p>
        </w:tc>
        <w:tc>
          <w:tcPr>
            <w:tcBorders>
              <w:top w:val="single" w:sz="4"/>
              <w:left w:val="single" w:sz="4"/>
            </w:tcBorders>
            <w:shd w:val="clear" w:color="auto" w:fill="FBF8DE"/>
            <w:vAlign w:val="center"/>
          </w:tcPr>
          <w:p>
            <w:pPr>
              <w:pStyle w:val="Style4"/>
              <w:keepNext w:val="0"/>
              <w:keepLines w:val="0"/>
              <w:widowControl w:val="0"/>
              <w:shd w:val="clear" w:color="auto" w:fill="auto"/>
              <w:bidi w:val="0"/>
              <w:spacing w:line="202" w:lineRule="auto"/>
              <w:ind w:left="0" w:firstLine="0"/>
              <w:jc w:val="left"/>
              <w:rPr>
                <w:sz w:val="12"/>
                <w:szCs w:val="12"/>
              </w:rPr>
            </w:pPr>
            <w:r>
              <w:rPr>
                <w:color w:val="625254"/>
                <w:spacing w:val="0"/>
                <w:w w:val="100"/>
                <w:position w:val="0"/>
                <w:sz w:val="12"/>
                <w:szCs w:val="12"/>
                <w:shd w:val="clear" w:color="auto" w:fill="auto"/>
                <w:lang w:val="en-US" w:eastAsia="en-US" w:bidi="en-US"/>
              </w:rPr>
              <w:t>Number settled by joint agree</w:t>
              <w:softHyphen/>
              <w:t>ment.</w:t>
            </w:r>
          </w:p>
        </w:tc>
        <w:tc>
          <w:tcPr>
            <w:tcBorders>
              <w:top w:val="single" w:sz="4"/>
              <w:left w:val="single" w:sz="4"/>
              <w:right w:val="single" w:sz="4"/>
            </w:tcBorders>
            <w:shd w:val="clear" w:color="auto" w:fill="FBF8DE"/>
            <w:vAlign w:val="center"/>
          </w:tcPr>
          <w:p>
            <w:pPr>
              <w:pStyle w:val="Style4"/>
              <w:keepNext w:val="0"/>
              <w:keepLines w:val="0"/>
              <w:widowControl w:val="0"/>
              <w:shd w:val="clear" w:color="auto" w:fill="auto"/>
              <w:bidi w:val="0"/>
              <w:spacing w:line="197" w:lineRule="auto"/>
              <w:ind w:left="0" w:firstLine="0"/>
              <w:jc w:val="left"/>
              <w:rPr>
                <w:sz w:val="12"/>
                <w:szCs w:val="12"/>
              </w:rPr>
            </w:pPr>
            <w:r>
              <w:rPr>
                <w:color w:val="625254"/>
                <w:spacing w:val="0"/>
                <w:w w:val="100"/>
                <w:position w:val="0"/>
                <w:sz w:val="12"/>
                <w:szCs w:val="12"/>
                <w:shd w:val="clear" w:color="auto" w:fill="auto"/>
                <w:lang w:val="en-US" w:eastAsia="en-US" w:bidi="en-US"/>
              </w:rPr>
              <w:t>Number settled by arbitration.</w:t>
            </w:r>
          </w:p>
        </w:tc>
      </w:tr>
      <w:tr>
        <w:trPr>
          <w:trHeight w:val="234"/>
        </w:trPr>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1901</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2,924</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149</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49</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88</w:t>
            </w:r>
          </w:p>
        </w:tc>
        <w:tc>
          <w:tcPr>
            <w:tcBorders>
              <w:top w:val="single" w:sz="4"/>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w:t>
            </w:r>
          </w:p>
        </w:tc>
        <w:tc>
          <w:tcPr>
            <w:tcBorders>
              <w:top w:val="single" w:sz="4"/>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2</w:t>
            </w:r>
          </w:p>
        </w:tc>
      </w:tr>
      <w:tr>
        <w:trPr>
          <w:trHeight w:val="149"/>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1902</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5"/>
                <w:szCs w:val="15"/>
              </w:rPr>
            </w:pPr>
            <w:r>
              <w:rPr>
                <w:smallCaps/>
                <w:color w:val="625254"/>
                <w:spacing w:val="0"/>
                <w:w w:val="100"/>
                <w:position w:val="0"/>
                <w:sz w:val="15"/>
                <w:szCs w:val="15"/>
                <w:shd w:val="clear" w:color="auto" w:fill="auto"/>
                <w:lang w:val="en-US" w:eastAsia="en-US" w:bidi="en-US"/>
              </w:rPr>
              <w:t>3,162</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204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58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78</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11</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w:t>
            </w:r>
          </w:p>
        </w:tc>
      </w:tr>
      <w:tr>
        <w:trPr>
          <w:trHeight w:val="153"/>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1903</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3.494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246</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66</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154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18</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w:t>
            </w:r>
          </w:p>
        </w:tc>
      </w:tr>
      <w:tr>
        <w:trPr>
          <w:trHeight w:val="144"/>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1904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2,307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130</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23</w:t>
            </w:r>
          </w:p>
        </w:tc>
        <w:tc>
          <w:tcPr>
            <w:tcBorders>
              <w:left w:val="single" w:sz="4"/>
            </w:tcBorders>
            <w:shd w:val="clear" w:color="auto" w:fill="FBF8DE"/>
            <w:vAlign w:val="bottom"/>
          </w:tcPr>
          <w:p>
            <w:pPr>
              <w:pStyle w:val="Style4"/>
              <w:keepNext w:val="0"/>
              <w:keepLines w:val="0"/>
              <w:widowControl w:val="0"/>
              <w:shd w:val="clear" w:color="auto" w:fill="auto"/>
              <w:bidi w:val="0"/>
              <w:spacing w:line="240" w:lineRule="auto"/>
              <w:ind w:left="0" w:firstLine="0"/>
              <w:jc w:val="left"/>
              <w:rPr>
                <w:sz w:val="12"/>
                <w:szCs w:val="12"/>
              </w:rPr>
            </w:pPr>
            <w:r>
              <w:rPr>
                <w:color w:val="000000"/>
                <w:spacing w:val="0"/>
                <w:w w:val="100"/>
                <w:position w:val="0"/>
                <w:sz w:val="12"/>
                <w:szCs w:val="12"/>
                <w:shd w:val="clear" w:color="auto" w:fill="auto"/>
                <w:lang w:val="en-US" w:eastAsia="en-US" w:bidi="en-US"/>
              </w:rPr>
              <w:t>112</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17</w:t>
            </w:r>
          </w:p>
        </w:tc>
        <w:tc>
          <w:tcPr>
            <w:tcBorders>
              <w:left w:val="single" w:sz="4"/>
              <w:right w:val="single" w:sz="4"/>
            </w:tcBorders>
            <w:shd w:val="clear" w:color="auto" w:fill="FBF8DE"/>
            <w:vAlign w:val="bottom"/>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2</w:t>
            </w:r>
          </w:p>
        </w:tc>
      </w:tr>
      <w:tr>
        <w:trPr>
          <w:trHeight w:val="203"/>
        </w:trPr>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l-GR" w:eastAsia="el-GR" w:bidi="el-GR"/>
              </w:rPr>
              <w:t>1905</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625254"/>
                <w:spacing w:val="0"/>
                <w:w w:val="100"/>
                <w:position w:val="0"/>
                <w:sz w:val="16"/>
                <w:szCs w:val="16"/>
                <w:shd w:val="clear" w:color="auto" w:fill="auto"/>
                <w:lang w:val="en-US" w:eastAsia="en-US" w:bidi="en-US"/>
              </w:rPr>
              <w:t>2,077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74</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27</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109</w:t>
            </w:r>
          </w:p>
        </w:tc>
        <w:tc>
          <w:tcPr>
            <w:tcBorders>
              <w:left w:val="single" w:sz="4"/>
            </w:tcBorders>
            <w:shd w:val="clear" w:color="auto" w:fill="FBF8DE"/>
            <w:vAlign w:val="top"/>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10</w:t>
            </w:r>
          </w:p>
        </w:tc>
        <w:tc>
          <w:tcPr>
            <w:tcBorders>
              <w:left w:val="single" w:sz="4"/>
              <w:right w:val="single" w:sz="4"/>
            </w:tcBorders>
            <w:shd w:val="clear" w:color="auto" w:fill="FBF8DE"/>
            <w:vAlign w:val="top"/>
          </w:tcPr>
          <w:p>
            <w:pPr>
              <w:pStyle w:val="Style4"/>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3</w:t>
            </w:r>
          </w:p>
        </w:tc>
      </w:tr>
      <w:tr>
        <w:trPr>
          <w:trHeight w:val="297"/>
        </w:trPr>
        <w:tc>
          <w:tcPr>
            <w:tcBorders>
              <w:top w:val="single" w:sz="4"/>
              <w:left w:val="single" w:sz="4"/>
              <w:bottom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Total</w:t>
            </w:r>
          </w:p>
        </w:tc>
        <w:tc>
          <w:tcPr>
            <w:tcBorders>
              <w:top w:val="single" w:sz="4"/>
              <w:left w:val="single" w:sz="4"/>
              <w:bottom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13.964</w:t>
            </w:r>
          </w:p>
        </w:tc>
        <w:tc>
          <w:tcPr>
            <w:tcBorders>
              <w:top w:val="single" w:sz="4"/>
              <w:left w:val="single" w:sz="4"/>
              <w:bottom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803</w:t>
            </w:r>
          </w:p>
        </w:tc>
        <w:tc>
          <w:tcPr>
            <w:tcBorders>
              <w:top w:val="single" w:sz="4"/>
              <w:left w:val="single" w:sz="4"/>
              <w:bottom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6"/>
                <w:szCs w:val="16"/>
              </w:rPr>
            </w:pPr>
            <w:r>
              <w:rPr>
                <w:color w:val="625254"/>
                <w:spacing w:val="0"/>
                <w:w w:val="100"/>
                <w:position w:val="0"/>
                <w:sz w:val="16"/>
                <w:szCs w:val="16"/>
                <w:shd w:val="clear" w:color="auto" w:fill="auto"/>
                <w:lang w:val="en-US" w:eastAsia="en-US" w:bidi="en-US"/>
              </w:rPr>
              <w:t>223</w:t>
            </w:r>
          </w:p>
        </w:tc>
        <w:tc>
          <w:tcPr>
            <w:tcBorders>
              <w:top w:val="single" w:sz="4"/>
              <w:left w:val="single" w:sz="4"/>
              <w:bottom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541</w:t>
            </w:r>
          </w:p>
        </w:tc>
        <w:tc>
          <w:tcPr>
            <w:tcBorders>
              <w:top w:val="single" w:sz="4"/>
              <w:left w:val="single" w:sz="4"/>
              <w:bottom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66</w:t>
            </w:r>
          </w:p>
        </w:tc>
        <w:tc>
          <w:tcPr>
            <w:tcBorders>
              <w:top w:val="single" w:sz="4"/>
              <w:left w:val="single" w:sz="4"/>
              <w:bottom w:val="single" w:sz="4"/>
              <w:right w:val="single" w:sz="4"/>
            </w:tcBorders>
            <w:shd w:val="clear" w:color="auto" w:fill="FBF8DE"/>
            <w:vAlign w:val="center"/>
          </w:tcPr>
          <w:p>
            <w:pPr>
              <w:pStyle w:val="Style4"/>
              <w:keepNext w:val="0"/>
              <w:keepLines w:val="0"/>
              <w:widowControl w:val="0"/>
              <w:shd w:val="clear" w:color="auto" w:fill="auto"/>
              <w:bidi w:val="0"/>
              <w:spacing w:line="240" w:lineRule="auto"/>
              <w:ind w:left="0" w:firstLine="0"/>
              <w:jc w:val="left"/>
              <w:rPr>
                <w:sz w:val="12"/>
                <w:szCs w:val="12"/>
              </w:rPr>
            </w:pPr>
            <w:r>
              <w:rPr>
                <w:color w:val="625254"/>
                <w:spacing w:val="0"/>
                <w:w w:val="100"/>
                <w:position w:val="0"/>
                <w:sz w:val="12"/>
                <w:szCs w:val="12"/>
                <w:shd w:val="clear" w:color="auto" w:fill="auto"/>
                <w:lang w:val="en-US" w:eastAsia="en-US" w:bidi="en-US"/>
              </w:rPr>
              <w:t>11</w:t>
            </w:r>
          </w:p>
        </w:tc>
      </w:tr>
    </w:tbl>
    <w:p>
      <w:pPr>
        <w:pStyle w:val="Style2"/>
        <w:keepNext w:val="0"/>
        <w:keepLines w:val="0"/>
        <w:widowControl w:val="0"/>
        <w:shd w:val="clear" w:color="auto" w:fill="auto"/>
        <w:bidi w:val="0"/>
        <w:spacing w:line="192" w:lineRule="auto"/>
        <w:ind w:left="0" w:firstLine="360"/>
        <w:jc w:val="left"/>
        <w:rPr>
          <w:sz w:val="16"/>
          <w:szCs w:val="16"/>
        </w:rPr>
      </w:pPr>
      <w:r>
        <w:rPr>
          <w:color w:val="000000"/>
          <w:spacing w:val="0"/>
          <w:w w:val="100"/>
          <w:position w:val="0"/>
          <w:sz w:val="16"/>
          <w:szCs w:val="16"/>
          <w:shd w:val="clear" w:color="auto" w:fill="auto"/>
          <w:lang w:val="en-US" w:eastAsia="en-US" w:bidi="en-US"/>
        </w:rPr>
        <w:t>The figures given relate to all strikes, of whatever magnitude, occurring in the United States from 1881 to the 31st of December 1900 inclusive. Among them have occurred what may be called historic strikes, the first of which was in 1877, though of course many very severe strikes had taken place prior to that year. The great railway strikes of 1877 began on the Balti</w:t>
        <w:softHyphen/>
        <w:t>more &amp; Ohio Railroad at Martinsburg, West Vir</w:t>
        <w:softHyphen/>
        <w:t>ginia, the immediate cause of the first strike being a 10% reduction of wages of all employees. This, however, was but one of many grievances. There was irregular employment. Men with families were permitted to work only three or four days per week, the remainder of the time being forced to spend away from home at their own expense, leaving them but little money for do</w:t>
        <w:softHyphen/>
        <w:t>mestic use. Wages, pay</w:t>
        <w:softHyphen/>
        <w:t>able monthly, were often retained several months. The tonnage of trains was increased, and the men were paid only for the number of miles run, irre</w:t>
        <w:softHyphen/>
        <w:t>spective of the time con</w:t>
        <w:softHyphen/>
      </w:r>
    </w:p>
    <w:p>
      <w:pPr>
        <w:pStyle w:val="Style2"/>
        <w:keepNext w:val="0"/>
        <w:keepLines w:val="0"/>
        <w:widowControl w:val="0"/>
        <w:shd w:val="clear" w:color="auto" w:fill="auto"/>
        <w:bidi w:val="0"/>
        <w:spacing w:line="192" w:lineRule="auto"/>
        <w:ind w:left="0" w:firstLine="0"/>
        <w:jc w:val="left"/>
        <w:rPr>
          <w:sz w:val="16"/>
          <w:szCs w:val="16"/>
        </w:rPr>
      </w:pPr>
      <w:r>
        <w:rPr>
          <w:color w:val="000000"/>
          <w:spacing w:val="0"/>
          <w:w w:val="100"/>
          <w:position w:val="0"/>
          <w:sz w:val="16"/>
          <w:szCs w:val="16"/>
          <w:shd w:val="clear" w:color="auto" w:fill="auto"/>
          <w:lang w:val="en-US" w:eastAsia="en-US" w:bidi="en-US"/>
        </w:rPr>
        <w:t>sumed. So there were many’ alleged causes for the great strikes of 1877. Riot, destruction of property and loss of life occurred at Martinsburg, Baltimore and various places in Pennsylvania. The state militia at Martinsburg and Pittsburg sympathized with the strikers,</w:t>
      </w:r>
    </w:p>
    <w:p>
      <w:pPr>
        <w:widowControl w:val="0"/>
        <w:spacing w:line="1" w:lineRule="exact"/>
      </w:pPr>
    </w:p>
    <w:sectPr>
      <w:footnotePr>
        <w:pos w:val="pageBottom"/>
        <w:numFmt w:val="decimal"/>
        <w:numRestart w:val="continuous"/>
      </w:footnotePr>
      <w:type w:val="continuous"/>
      <w:pgSz w:w="12240" w:h="15840"/>
      <w:pgMar w:top="1364" w:left="1180" w:right="1268" w:bottom="9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5">
    <w:name w:val="Other_"/>
    <w:basedOn w:val="DefaultParagraphFont"/>
    <w:link w:val="Style4"/>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4">
    <w:name w:val="Other"/>
    <w:basedOn w:val="Normal"/>
    <w:link w:val="CharStyle5"/>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