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clearly defined, to the vassal—</w:t>
      </w:r>
      <w:r>
        <w:rPr>
          <w:i/>
          <w:iCs/>
          <w:color w:val="000000"/>
          <w:spacing w:val="0"/>
          <w:w w:val="100"/>
          <w:position w:val="0"/>
          <w:shd w:val="clear" w:color="auto" w:fill="auto"/>
          <w:lang w:val="de-DE" w:eastAsia="de-DE" w:bidi="de-DE"/>
        </w:rPr>
        <w:t>Dominus v</w:t>
      </w:r>
      <w:r>
        <w:rPr>
          <w:i/>
          <w:iCs/>
          <w:color w:val="000000"/>
          <w:spacing w:val="0"/>
          <w:w w:val="100"/>
          <w:position w:val="0"/>
          <w:shd w:val="clear" w:color="auto" w:fill="auto"/>
          <w:lang w:val="en-US" w:eastAsia="en-US" w:bidi="en-US"/>
        </w:rPr>
        <w:t xml:space="preserve">assallo conjux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amicus dicitur.</w:t>
      </w:r>
      <w:r>
        <w:rPr>
          <w:color w:val="000000"/>
          <w:spacing w:val="0"/>
          <w:w w:val="100"/>
          <w:position w:val="0"/>
          <w:shd w:val="clear" w:color="auto" w:fill="auto"/>
          <w:lang w:val="en-US" w:eastAsia="en-US" w:bidi="en-US"/>
        </w:rPr>
        <w:t xml:space="preserve"> The relation between a lord and his vassals, implied in the oath of fealty, has been extended to states of unequal power; it has been found convenient to designate certain states as vassal states, and their superiors as suzerains. Originally and properly applicable to a status recognized by feudalism, the term vassal state has been used to describe the subordinate position of certain states once parts of the Ottoman Empire, and still loosely con</w:t>
        <w:softHyphen/>
        <w:t xml:space="preserve">nected therewith. Such are Egypt and Bulgaria. Rumania, Servia and Montenegro, once vassal states, may now be regardcd as independent. The relations of these states to the Ottoman Porte are very varied. Egypt has been variously described as a vassal state or as a protectorate. But all of these pay tribute to the sultan, or in some way acknowledge his supremacy (Emanuel Ullmann, </w:t>
      </w:r>
      <w:r>
        <w:rPr>
          <w:i/>
          <w:iCs/>
          <w:color w:val="000000"/>
          <w:spacing w:val="0"/>
          <w:w w:val="100"/>
          <w:position w:val="0"/>
          <w:shd w:val="clear" w:color="auto" w:fill="auto"/>
          <w:lang w:val="de-DE" w:eastAsia="de-DE" w:bidi="de-DE"/>
        </w:rPr>
        <w:t>Völkerrecht,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 16); Μ. de Martens </w:t>
      </w:r>
      <w:r>
        <w:rPr>
          <w:i/>
          <w:iCs/>
          <w:color w:val="000000"/>
          <w:spacing w:val="0"/>
          <w:w w:val="100"/>
          <w:position w:val="0"/>
          <w:shd w:val="clear" w:color="auto" w:fill="auto"/>
          <w:lang w:val="fr-FR" w:eastAsia="fr-FR" w:bidi="fr-FR"/>
        </w:rPr>
        <w:t xml:space="preserve">(Traité </w:t>
      </w:r>
      <w:r>
        <w:rPr>
          <w:i/>
          <w:iCs/>
          <w:color w:val="000000"/>
          <w:spacing w:val="0"/>
          <w:w w:val="100"/>
          <w:position w:val="0"/>
          <w:shd w:val="clear" w:color="auto" w:fill="auto"/>
          <w:lang w:val="en-US" w:eastAsia="en-US" w:bidi="en-US"/>
        </w:rPr>
        <w:t>de droit international,</w:t>
      </w:r>
      <w:r>
        <w:rPr>
          <w:color w:val="000000"/>
          <w:spacing w:val="0"/>
          <w:w w:val="100"/>
          <w:position w:val="0"/>
          <w:shd w:val="clear" w:color="auto" w:fill="auto"/>
          <w:lang w:val="en-US" w:eastAsia="en-US" w:bidi="en-US"/>
        </w:rPr>
        <w:t xml:space="preserve"> 1883, i. 333 n.) thus defines the term: “ La </w:t>
      </w:r>
      <w:r>
        <w:rPr>
          <w:color w:val="000000"/>
          <w:spacing w:val="0"/>
          <w:w w:val="100"/>
          <w:position w:val="0"/>
          <w:shd w:val="clear" w:color="auto" w:fill="auto"/>
          <w:lang w:val="fr-FR" w:eastAsia="fr-FR" w:bidi="fr-FR"/>
        </w:rPr>
        <w:t xml:space="preserve">suzeraineté est la souveraineté limitée exercée par le pouvoir suprême d’un état sur un gouvernment mi-souverain,” </w:t>
      </w:r>
      <w:r>
        <w:rPr>
          <w:i/>
          <w:iCs/>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definition </w:t>
      </w:r>
      <w:r>
        <w:rPr>
          <w:color w:val="000000"/>
          <w:spacing w:val="0"/>
          <w:w w:val="100"/>
          <w:position w:val="0"/>
          <w:shd w:val="clear" w:color="auto" w:fill="auto"/>
          <w:lang w:val="fr-FR" w:eastAsia="fr-FR" w:bidi="fr-FR"/>
        </w:rPr>
        <w:t xml:space="preserve">applicable </w:t>
      </w:r>
      <w:r>
        <w:rPr>
          <w:color w:val="000000"/>
          <w:spacing w:val="0"/>
          <w:w w:val="100"/>
          <w:position w:val="0"/>
          <w:shd w:val="clear" w:color="auto" w:fill="auto"/>
          <w:lang w:val="en-US" w:eastAsia="en-US" w:bidi="en-US"/>
        </w:rPr>
        <w:t xml:space="preserve">to protectorates, with which it is often confounded. Thus Mommsen </w:t>
      </w:r>
      <w:r>
        <w:rPr>
          <w:i/>
          <w:iCs/>
          <w:color w:val="000000"/>
          <w:spacing w:val="0"/>
          <w:w w:val="100"/>
          <w:position w:val="0"/>
          <w:shd w:val="clear" w:color="auto" w:fill="auto"/>
          <w:lang w:val="en-US" w:eastAsia="en-US" w:bidi="en-US"/>
        </w:rPr>
        <w:t>(History of Rome)</w:t>
      </w:r>
      <w:r>
        <w:rPr>
          <w:color w:val="000000"/>
          <w:spacing w:val="0"/>
          <w:w w:val="100"/>
          <w:position w:val="0"/>
          <w:shd w:val="clear" w:color="auto" w:fill="auto"/>
          <w:lang w:val="en-US" w:eastAsia="en-US" w:bidi="en-US"/>
        </w:rPr>
        <w:t xml:space="preserve"> indiscriminately describes the supremacy of Rome over Armenia as “ suzerainty ” or “ protectorate.” To illustrate the vague use of the word in modern diplomacy may be quoted the description of suzerainty given by Lord Kimberley, which Mr Chamberlain in thc correspondence as to South Africa mentioned with approval: “ Superiority over a state possessing independent rights of government subject to reservations with reference to certain specified matters ” (1899 [C. 9057], p. 28).</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Μ. Gairal </w:t>
      </w:r>
      <w:r>
        <w:rPr>
          <w:i/>
          <w:iCs/>
          <w:color w:val="000000"/>
          <w:spacing w:val="0"/>
          <w:w w:val="100"/>
          <w:position w:val="0"/>
          <w:shd w:val="clear" w:color="auto" w:fill="auto"/>
          <w:lang w:val="fr-FR" w:eastAsia="fr-FR" w:bidi="fr-FR"/>
        </w:rPr>
        <w:t xml:space="preserve">(Le Protectorat </w:t>
      </w:r>
      <w:r>
        <w:rPr>
          <w:i/>
          <w:iCs/>
          <w:color w:val="000000"/>
          <w:spacing w:val="0"/>
          <w:w w:val="100"/>
          <w:position w:val="0"/>
          <w:shd w:val="clear" w:color="auto" w:fill="auto"/>
          <w:lang w:val="en-US" w:eastAsia="en-US" w:bidi="en-US"/>
        </w:rPr>
        <w:t>international)</w:t>
      </w:r>
      <w:r>
        <w:rPr>
          <w:color w:val="000000"/>
          <w:spacing w:val="0"/>
          <w:w w:val="100"/>
          <w:position w:val="0"/>
          <w:shd w:val="clear" w:color="auto" w:fill="auto"/>
          <w:lang w:val="en-US" w:eastAsia="en-US" w:bidi="en-US"/>
        </w:rPr>
        <w:t xml:space="preserve"> distinguishes suzerainty from protectorate in these respects: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suzerainty proceeds from a concession on the part of the suzerain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112);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 vassal state is bound to perform specific services;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the vassal state has larger powers of action than those belonging to a protected state;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there is reciprocity of obligation. According to Μ. F. Despagnet the term suzerain is applicable to a case in which a state concedes a fief, in virtue of its sovereignty </w:t>
      </w:r>
      <w:r>
        <w:rPr>
          <w:i/>
          <w:iCs/>
          <w:color w:val="000000"/>
          <w:spacing w:val="0"/>
          <w:w w:val="100"/>
          <w:position w:val="0"/>
          <w:shd w:val="clear" w:color="auto" w:fill="auto"/>
          <w:lang w:val="fr-FR" w:eastAsia="fr-FR" w:bidi="fr-FR"/>
        </w:rPr>
        <w:t>(Essai sur le protectorat international,</w:t>
      </w:r>
      <w:r>
        <w:rPr>
          <w:color w:val="000000"/>
          <w:spacing w:val="0"/>
          <w:w w:val="100"/>
          <w:position w:val="0"/>
          <w:shd w:val="clear" w:color="auto" w:fill="auto"/>
          <w:lang w:val="fr-FR" w:eastAsia="fr-FR" w:bidi="fr-FR"/>
        </w:rPr>
        <w:t xml:space="preserve"> p. </w:t>
      </w:r>
      <w:r>
        <w:rPr>
          <w:color w:val="000000"/>
          <w:spacing w:val="0"/>
          <w:w w:val="100"/>
          <w:position w:val="0"/>
          <w:shd w:val="clear" w:color="auto" w:fill="auto"/>
          <w:lang w:val="en-US" w:eastAsia="en-US" w:bidi="en-US"/>
        </w:rPr>
        <w:t xml:space="preserve">46), reserving to itself </w:t>
      </w:r>
      <w:r>
        <w:rPr>
          <w:color w:val="000000"/>
          <w:spacing w:val="0"/>
          <w:w w:val="100"/>
          <w:position w:val="0"/>
          <w:shd w:val="clear" w:color="auto" w:fill="auto"/>
          <w:lang w:val="fr-FR" w:eastAsia="fr-FR" w:bidi="fr-FR"/>
        </w:rPr>
        <w:t xml:space="preserve">certain </w:t>
      </w:r>
      <w:r>
        <w:rPr>
          <w:color w:val="000000"/>
          <w:spacing w:val="0"/>
          <w:w w:val="100"/>
          <w:position w:val="0"/>
          <w:shd w:val="clear" w:color="auto" w:fill="auto"/>
          <w:lang w:val="en-US" w:eastAsia="en-US" w:bidi="en-US"/>
        </w:rPr>
        <w:t xml:space="preserve">rights </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the author of this concession.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Another writer draws these distinctions: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 state connected by protectorship with another previously enjoyed autonomy; the vassal state did not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 protected state retains its nationality and its internal administration; the vassal state acquires a dis</w:t>
        <w:softHyphen/>
        <w:t xml:space="preserve">tinct nationality;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the establishment of a protectorate modifies few of the institutions of the protectorate state except as to foreign relations; the establishment of a suzerainty changes the institutions of the vassal state;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 protected state exercises its internal sovereignty </w:t>
      </w:r>
      <w:r>
        <w:rPr>
          <w:i/>
          <w:iCs/>
          <w:color w:val="000000"/>
          <w:spacing w:val="0"/>
          <w:w w:val="100"/>
          <w:position w:val="0"/>
          <w:shd w:val="clear" w:color="auto" w:fill="auto"/>
          <w:lang w:val="fr-FR" w:eastAsia="fr-FR" w:bidi="fr-FR"/>
        </w:rPr>
        <w:t>à peu près pleinement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vassal </w:t>
      </w:r>
      <w:r>
        <w:rPr>
          <w:color w:val="000000"/>
          <w:spacing w:val="0"/>
          <w:w w:val="100"/>
          <w:position w:val="0"/>
          <w:shd w:val="clear" w:color="auto" w:fill="auto"/>
          <w:lang w:val="en-US" w:eastAsia="en-US" w:bidi="en-US"/>
        </w:rPr>
        <w:t xml:space="preserve">state remains subordinate in several respects;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while the protected state has the right to be assisted in case of war by the protecting state, but is not bound to defend the latter, the vassal state is bound to aid its suzerain (Tchomacoff, </w:t>
      </w:r>
      <w:r>
        <w:rPr>
          <w:i/>
          <w:iCs/>
          <w:color w:val="000000"/>
          <w:spacing w:val="0"/>
          <w:w w:val="100"/>
          <w:position w:val="0"/>
          <w:shd w:val="clear" w:color="auto" w:fill="auto"/>
          <w:lang w:val="fr-FR" w:eastAsia="fr-FR" w:bidi="fr-FR"/>
        </w:rPr>
        <w:t>De</w:t>
      </w:r>
      <w:r>
        <w:rPr>
          <w:i/>
          <w:iCs/>
          <w:color w:val="000000"/>
          <w:spacing w:val="0"/>
          <w:w w:val="100"/>
          <w:position w:val="0"/>
          <w:shd w:val="clear" w:color="auto" w:fill="auto"/>
          <w:lang w:val="en-US" w:eastAsia="en-US" w:bidi="en-US"/>
        </w:rPr>
        <w:t xml:space="preserve"> la</w:t>
      </w:r>
      <w:r>
        <w:rPr>
          <w:i/>
          <w:iCs/>
          <w:color w:val="000000"/>
          <w:spacing w:val="0"/>
          <w:w w:val="100"/>
          <w:position w:val="0"/>
          <w:shd w:val="clear" w:color="auto" w:fill="auto"/>
          <w:lang w:val="fr-FR" w:eastAsia="fr-FR" w:bidi="fr-FR"/>
        </w:rPr>
        <w:t xml:space="preserve"> Souveraineté,</w:t>
      </w:r>
      <w:r>
        <w:rPr>
          <w:color w:val="000000"/>
          <w:spacing w:val="0"/>
          <w:w w:val="100"/>
          <w:position w:val="0"/>
          <w:shd w:val="clear" w:color="auto" w:fill="auto"/>
          <w:lang w:val="fr-FR" w:eastAsia="fr-FR" w:bidi="fr-FR"/>
        </w:rPr>
        <w:t xml:space="preserve"> p. </w:t>
      </w:r>
      <w:r>
        <w:rPr>
          <w:color w:val="000000"/>
          <w:spacing w:val="0"/>
          <w:w w:val="100"/>
          <w:position w:val="0"/>
          <w:shd w:val="clear" w:color="auto" w:fill="auto"/>
          <w:lang w:val="en-US" w:eastAsia="en-US" w:bidi="en-US"/>
        </w:rPr>
        <w:t xml:space="preserve">53). See also </w:t>
      </w:r>
      <w:r>
        <w:rPr>
          <w:color w:val="000000"/>
          <w:spacing w:val="0"/>
          <w:w w:val="100"/>
          <w:position w:val="0"/>
          <w:shd w:val="clear" w:color="auto" w:fill="auto"/>
          <w:lang w:val="de-DE" w:eastAsia="de-DE" w:bidi="de-DE"/>
        </w:rPr>
        <w:t xml:space="preserve">Hachenburger, </w:t>
      </w:r>
      <w:r>
        <w:rPr>
          <w:i/>
          <w:iCs/>
          <w:color w:val="000000"/>
          <w:spacing w:val="0"/>
          <w:w w:val="100"/>
          <w:position w:val="0"/>
          <w:shd w:val="clear" w:color="auto" w:fill="auto"/>
          <w:lang w:val="fr-FR" w:eastAsia="fr-FR" w:bidi="fr-FR"/>
        </w:rPr>
        <w:t>De la Nature juridique du protectorat.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W. E. Hall </w:t>
      </w:r>
      <w:r>
        <w:rPr>
          <w:color w:val="000000"/>
          <w:spacing w:val="0"/>
          <w:w w:val="100"/>
          <w:position w:val="0"/>
          <w:shd w:val="clear" w:color="auto" w:fill="auto"/>
          <w:lang w:val="en-US" w:eastAsia="en-US" w:bidi="en-US"/>
        </w:rPr>
        <w:t xml:space="preserve">thus defines </w:t>
      </w:r>
      <w:r>
        <w:rPr>
          <w:color w:val="000000"/>
          <w:spacing w:val="0"/>
          <w:w w:val="100"/>
          <w:position w:val="0"/>
          <w:shd w:val="clear" w:color="auto" w:fill="auto"/>
          <w:lang w:val="fr-FR" w:eastAsia="fr-FR" w:bidi="fr-FR"/>
        </w:rPr>
        <w:t xml:space="preserve">vassal </w:t>
      </w:r>
      <w:r>
        <w:rPr>
          <w:color w:val="000000"/>
          <w:spacing w:val="0"/>
          <w:w w:val="100"/>
          <w:position w:val="0"/>
          <w:shd w:val="clear" w:color="auto" w:fill="auto"/>
          <w:lang w:val="en-US" w:eastAsia="en-US" w:bidi="en-US"/>
        </w:rPr>
        <w:t xml:space="preserve">states: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States under the suzerainty of others arc portions of the latter which during a process of gradual disruption or by the grace of the sovereign have acquired certain of the powers of an independent com</w:t>
        <w:softHyphen/>
        <w:t xml:space="preserve">munity, such as that of making commercial conventions, or of conferring* their exequatur on foreign consuls. Their position differs from that of the foregoing varieties of states (protectorates, &amp;c.), in that a presumption exists against the possession by them of any given international capacity </w:t>
      </w:r>
      <w:r>
        <w:rPr>
          <w:i/>
          <w:iCs/>
          <w:color w:val="000000"/>
          <w:spacing w:val="0"/>
          <w:w w:val="100"/>
          <w:position w:val="0"/>
          <w:shd w:val="clear" w:color="auto" w:fill="auto"/>
          <w:lang w:val="en-US" w:eastAsia="en-US" w:bidi="en-US"/>
        </w:rPr>
        <w:t xml:space="preserve">(International Law, </w:t>
      </w:r>
      <w:r>
        <w:rPr>
          <w:color w:val="000000"/>
          <w:spacing w:val="0"/>
          <w:w w:val="100"/>
          <w:position w:val="0"/>
          <w:shd w:val="clear" w:color="auto" w:fill="auto"/>
          <w:lang w:val="en-US" w:eastAsia="en-US" w:bidi="en-US"/>
        </w:rPr>
        <w:t>4th ed., p. 31).</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Another suggested distinction is this: Suzerainty is title with</w:t>
        <w:softHyphen/>
        <w:t>out corresponding power; protectorate is power without cor</w:t>
        <w:softHyphen/>
        <w:t xml:space="preserve">responding title (Professor Freund, </w:t>
      </w:r>
      <w:r>
        <w:rPr>
          <w:i/>
          <w:iCs/>
          <w:color w:val="000000"/>
          <w:spacing w:val="0"/>
          <w:w w:val="100"/>
          <w:position w:val="0"/>
          <w:shd w:val="clear" w:color="auto" w:fill="auto"/>
          <w:lang w:val="en-US" w:eastAsia="en-US" w:bidi="en-US"/>
        </w:rPr>
        <w:t xml:space="preserve">Political Science Quarterly, </w:t>
      </w:r>
      <w:r>
        <w:rPr>
          <w:color w:val="000000"/>
          <w:spacing w:val="0"/>
          <w:w w:val="100"/>
          <w:position w:val="0"/>
          <w:shd w:val="clear" w:color="auto" w:fill="auto"/>
          <w:lang w:val="en-US" w:eastAsia="en-US" w:bidi="en-US"/>
        </w:rPr>
        <w:t>1899, p. 28).</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whole, usage seems to favour this distinction: while a protectorate flows from, or is a reduction of, the sovereignty of the protected state, suzerainty is conceived as derived from, and a reduction of, the sovereignty of the dominant state.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to the power of making treaties, a vassal state cannot, as a </w:t>
      </w:r>
      <w:r>
        <w:rPr>
          <w:color w:val="000000"/>
          <w:spacing w:val="0"/>
          <w:w w:val="100"/>
          <w:position w:val="0"/>
          <w:shd w:val="clear" w:color="auto" w:fill="auto"/>
          <w:lang w:val="en-US" w:eastAsia="en-US" w:bidi="en-US"/>
        </w:rPr>
        <w:t>rule, conclude them; such power does not exist unless it is specially given. On the other hand, a protected state, unless the contrary is stipulated, retains the power of concluding treaties (Bry, p. 294).</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sometimes said that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protected state, unlike a vassal state, has the right of sending representatives to foreign states. But such distinctions are of doubtful value: the facts of each case must be considered (Ullmann, § 26).</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one practical difference between the two relations: while the protecting and protected states tend to draw nearer, the reverse is true of the suzerain and vassal states; a protectorate is generally the preliminary to incorporation, suzerainty to separation. Sometimes it is said that the territory of the vassal state forms part of the territory of the suzerain; a proposition which is true for some purposes, but not for all.</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 definitions of suzerainty are of little use. Each instru</w:t>
        <w:softHyphen/>
        <w:t>ment in which the word is used must be studied in order to ascer</w:t>
        <w:softHyphen/>
        <w:t>tain its significance. Even in feudal times suzerainty might be merely nominal, an instance in point being the suzerainty or over-lordship of the papacy over Naples. In some cases it may be said that suzerainty brings no practical advantages and implies no serious obligations. Among the instances in which the term is actually used in treaties are these: the General Treaty, Peace of Paris, 1856 (arts. 21 and 22), recog</w:t>
        <w:softHyphen/>
        <w:t>nized the suzerainty of Turkey over the Danubian principalities Moldavia and Wallachia, modifying the “ sove</w:t>
        <w:softHyphen/>
        <w:t xml:space="preserve">reignty ” of Turkey recognized by the Treaty of Adrianople. “ </w:t>
      </w:r>
      <w:r>
        <w:rPr>
          <w:color w:val="000000"/>
          <w:spacing w:val="0"/>
          <w:w w:val="100"/>
          <w:position w:val="0"/>
          <w:shd w:val="clear" w:color="auto" w:fill="auto"/>
          <w:lang w:val="fr-FR" w:eastAsia="fr-FR" w:bidi="fr-FR"/>
        </w:rPr>
        <w:t xml:space="preserve">Les principautés de </w:t>
      </w:r>
      <w:r>
        <w:rPr>
          <w:color w:val="000000"/>
          <w:spacing w:val="0"/>
          <w:w w:val="100"/>
          <w:position w:val="0"/>
          <w:shd w:val="clear" w:color="auto" w:fill="auto"/>
          <w:lang w:val="en-US" w:eastAsia="en-US" w:bidi="en-US"/>
        </w:rPr>
        <w:t xml:space="preserve">Valachie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de Moldavia </w:t>
      </w:r>
      <w:r>
        <w:rPr>
          <w:color w:val="000000"/>
          <w:spacing w:val="0"/>
          <w:w w:val="100"/>
          <w:position w:val="0"/>
          <w:shd w:val="clear" w:color="auto" w:fill="auto"/>
          <w:lang w:val="fr-FR" w:eastAsia="fr-FR" w:bidi="fr-FR"/>
        </w:rPr>
        <w:t xml:space="preserve">continueront à jouir, </w:t>
      </w:r>
      <w:r>
        <w:rPr>
          <w:color w:val="000000"/>
          <w:spacing w:val="0"/>
          <w:w w:val="100"/>
          <w:position w:val="0"/>
          <w:shd w:val="clear" w:color="auto" w:fill="auto"/>
          <w:lang w:val="en-US" w:eastAsia="en-US" w:bidi="en-US"/>
        </w:rPr>
        <w:t xml:space="preserve">sous </w:t>
      </w:r>
      <w:r>
        <w:rPr>
          <w:color w:val="000000"/>
          <w:spacing w:val="0"/>
          <w:w w:val="100"/>
          <w:position w:val="0"/>
          <w:shd w:val="clear" w:color="auto" w:fill="auto"/>
          <w:lang w:val="fr-FR" w:eastAsia="fr-FR" w:bidi="fr-FR"/>
        </w:rPr>
        <w:t xml:space="preserve">la suzeraineté de la Porte et sous la garantie des Puissances contractantes, des privilèges et des immunités dont elles sont en possession.”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convention </w:t>
      </w:r>
      <w:r>
        <w:rPr>
          <w:color w:val="000000"/>
          <w:spacing w:val="0"/>
          <w:w w:val="100"/>
          <w:position w:val="0"/>
          <w:shd w:val="clear" w:color="auto" w:fill="auto"/>
          <w:lang w:val="en-US" w:eastAsia="en-US" w:bidi="en-US"/>
        </w:rPr>
        <w:t>of the 19th of August 1858 (Hertslet x. 1052) organized the then principalities “ under the suzerainty of the sultan ” (art. 1). The internal govern</w:t>
        <w:softHyphen/>
        <w:t>ment was to be exercised by a hospodar, who received bis investiture from the sultan, the sign of vassalship, it has been said (Tchomacoff p. 45). The autonomy of these vassal states has been fully recognized by the Treaty of Berlin of 1878 (art. 1). In the Interpretation Act, 1889, s. 18 (5), “ suzerainty ” is used to describe the authority of the sovereign over native princes.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word suzerain is used in the Pretoria convention of the 3rd of August 1881 between the British government and the late South African Republic. The convention (by its preamble) granted to the inhabitants complete self-government, “ subject to the suzerainty of her Majesty,” and this suzerainty was reaffirmed in the articles. Even when the convention was being negotiated doubts arose as to its meaning, and legal authorities were divided as to its effect (see speech of Lord Cairns, </w:t>
      </w:r>
      <w:r>
        <w:rPr>
          <w:i/>
          <w:iCs/>
          <w:color w:val="000000"/>
          <w:spacing w:val="0"/>
          <w:w w:val="100"/>
          <w:position w:val="0"/>
          <w:shd w:val="clear" w:color="auto" w:fill="auto"/>
          <w:lang w:val="en-US" w:eastAsia="en-US" w:bidi="en-US"/>
        </w:rPr>
        <w:t>Hansard,</w:t>
      </w:r>
      <w:r>
        <w:rPr>
          <w:color w:val="000000"/>
          <w:spacing w:val="0"/>
          <w:w w:val="100"/>
          <w:position w:val="0"/>
          <w:shd w:val="clear" w:color="auto" w:fill="auto"/>
          <w:lang w:val="en-US" w:eastAsia="en-US" w:bidi="en-US"/>
        </w:rPr>
        <w:t xml:space="preserve"> 269, p. 261; Lord Selborne, 260, p. 309; answer of attorney-general 260, 1534). It was doubtful whether territory could be ceded by the Crown of its own authority; and if the power existed the cession could, it was said, be made only by virtue of clear words. From the articles substituted in the London convention of the 27th of February 1884 for those of 1881, the word “ suzerainty " was omitted. Fresh doubts arose as to the effect of this omission ; and a correspondence on the subject took place between thc British government and the government of the republic before the outbreak of hostilities in South Africa, the former main</w:t>
        <w:softHyphen/>
        <w:t>taining that the preamble of 1881, by which alone any self- government was granted, was still in force, and therefore that the suzerainty—whatever it involved—remained; the Transvaal government, on the other hand, contending that the suzerainty had been abolished by the substitution of the 1884 convention for that of 1881. Writers on international law differ greatly as to the exact position of the South African republic under the later con</w:t>
        <w:softHyphen/>
        <w:t>vention. Some considered it an independent sovereign state. Mr Taylor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Treatise of International Public Law,</w:t>
      </w:r>
      <w:r>
        <w:rPr>
          <w:color w:val="000000"/>
          <w:spacing w:val="0"/>
          <w:w w:val="100"/>
          <w:position w:val="0"/>
          <w:shd w:val="clear" w:color="auto" w:fill="auto"/>
          <w:lang w:val="en-US" w:eastAsia="en-US" w:bidi="en-US"/>
        </w:rPr>
        <w:t xml:space="preserve"> p. 174) treats the Transvaal after the convention of 1884 as a “ neutralized state only part sovereign.” Other writers describe the relation as that of a protectorate (see Professor J. Westlake, </w:t>
      </w:r>
      <w:r>
        <w:rPr>
          <w:i/>
          <w:iCs/>
          <w:color w:val="000000"/>
          <w:spacing w:val="0"/>
          <w:w w:val="100"/>
          <w:position w:val="0"/>
          <w:shd w:val="clear" w:color="auto" w:fill="auto"/>
          <w:lang w:val="en-US" w:eastAsia="en-US" w:bidi="en-US"/>
        </w:rPr>
        <w:t>Revue de droit inter</w:t>
        <w:softHyphen/>
        <w:t>national,</w:t>
      </w:r>
      <w:r>
        <w:rPr>
          <w:color w:val="000000"/>
          <w:spacing w:val="0"/>
          <w:w w:val="100"/>
          <w:position w:val="0"/>
          <w:shd w:val="clear" w:color="auto" w:fill="auto"/>
          <w:lang w:val="en-US" w:eastAsia="en-US" w:bidi="en-US"/>
        </w:rPr>
        <w:t xml:space="preserve"> 1896, p. 268 seq.; </w:t>
      </w:r>
      <w:r>
        <w:rPr>
          <w:i/>
          <w:iCs/>
          <w:color w:val="000000"/>
          <w:spacing w:val="0"/>
          <w:w w:val="100"/>
          <w:position w:val="0"/>
          <w:shd w:val="clear" w:color="auto" w:fill="auto"/>
          <w:lang w:val="en-US" w:eastAsia="en-US" w:bidi="en-US"/>
        </w:rPr>
        <w:t>International Law,</w:t>
      </w:r>
      <w:r>
        <w:rPr>
          <w:color w:val="000000"/>
          <w:spacing w:val="0"/>
          <w:w w:val="100"/>
          <w:position w:val="0"/>
          <w:shd w:val="clear" w:color="auto" w:fill="auto"/>
          <w:lang w:val="en-US" w:eastAsia="en-US" w:bidi="en-US"/>
        </w:rPr>
        <w:t xml:space="preserve"> pt. 1, p. 27). Professor de Louter defines it as “ </w:t>
      </w:r>
      <w:r>
        <w:rPr>
          <w:color w:val="000000"/>
          <w:spacing w:val="0"/>
          <w:w w:val="100"/>
          <w:position w:val="0"/>
          <w:shd w:val="clear" w:color="auto" w:fill="auto"/>
          <w:lang w:val="fr-FR" w:eastAsia="fr-FR" w:bidi="fr-FR"/>
        </w:rPr>
        <w:t xml:space="preserve">une </w:t>
      </w:r>
      <w:r>
        <w:rPr>
          <w:color w:val="000000"/>
          <w:spacing w:val="0"/>
          <w:w w:val="100"/>
          <w:position w:val="0"/>
          <w:shd w:val="clear" w:color="auto" w:fill="auto"/>
          <w:lang w:val="en-US" w:eastAsia="en-US" w:bidi="en-US"/>
        </w:rPr>
        <w:t xml:space="preserve">servitude du droit des gens (servitus juris gentium), </w:t>
      </w:r>
      <w:r>
        <w:rPr>
          <w:color w:val="000000"/>
          <w:spacing w:val="0"/>
          <w:w w:val="100"/>
          <w:position w:val="0"/>
          <w:shd w:val="clear" w:color="auto" w:fill="auto"/>
          <w:lang w:val="fr-FR" w:eastAsia="fr-FR" w:bidi="fr-FR"/>
        </w:rPr>
        <w:t>et qui diffère de la servitude du</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