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4" w:lineRule="auto"/>
        <w:ind w:left="0" w:firstLine="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result of a new calculation. His tables give the values of this function from x=0 to 1∙250 at intervals of ∙001 to 9 places with first and second differences, from x = 1 to 3 at intervals of ∙001 to 15 places with differences to the fourth order, and from x=3 to 5 at intervals of ∙1 to 15 places. He also gives erfc x from x = 0 to x = 5 at intervals of ∙1 to 15 places. B.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Kämpfe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Wundt's </w:t>
      </w:r>
      <w:r>
        <w:rPr>
          <w:rFonts w:ascii="Times New Roman" w:eastAsia="Times New Roman" w:hAnsi="Times New Roman" w:cs="Times New Roman"/>
          <w:i/>
          <w:iCs/>
          <w:color w:val="000000"/>
          <w:spacing w:val="0"/>
          <w:w w:val="100"/>
          <w:position w:val="0"/>
          <w:shd w:val="clear" w:color="auto" w:fill="auto"/>
          <w:lang w:val="en-US" w:eastAsia="en-US" w:bidi="en-US"/>
        </w:rPr>
        <w:t>Phil.</w:t>
      </w:r>
    </w:p>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Stud.,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1893, p. 147, gives — erf x from x = 0 to x=1∙509 at intervals of ∙001, and from x = 1∙50 to x = 2∙88 at intervals of ∙01 to 4 places. G. T. Fechner’s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Elemente der Psychophysik</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(Leipzig, i860) contains (pp. 108, 110) some small four-place tables connecting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(as argu</w:t>
        <w:softHyphen/>
        <w:t xml:space="preserve">ment)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where — = i4—r^crf —■ A more detailed account of tables of erf x, c*</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erf x, &amp;c., is given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Mess, of Math.,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1908,38, p. 117.</w:t>
      </w:r>
    </w:p>
    <w:p>
      <w:pPr>
        <w:pStyle w:val="Style3"/>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Values of ° e</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l2</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dx.—</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values of this integral have been calcu</w:t>
        <w:softHyphen/>
        <w:t xml:space="preserve">lated by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H.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G. Dawson from x=o to x=2 to 7 places (last figure uncertain). The table is published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Proc. Lond. Math. Soc., </w:t>
      </w:r>
      <w:r>
        <w:rPr>
          <w:rFonts w:ascii="Times New Roman" w:eastAsia="Times New Roman" w:hAnsi="Times New Roman" w:cs="Times New Roman"/>
          <w:color w:val="000000"/>
          <w:spacing w:val="0"/>
          <w:w w:val="100"/>
          <w:position w:val="0"/>
          <w:sz w:val="17"/>
          <w:szCs w:val="17"/>
          <w:shd w:val="clear" w:color="auto" w:fill="auto"/>
          <w:lang w:val="en-US" w:eastAsia="en-US" w:bidi="en-US"/>
        </w:rPr>
        <w:t>1898, 29, p. 521.</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Tables of Integrals, not Numerical.—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Meyer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Hirsch,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Integral</w:t>
        <w:softHyphen/>
        <w:t>tafeln</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(1810;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Eng.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trans., 1823), and Minding,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Integraltafeln</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(Berlin, 1849), give values of indefinite integrals and formulae of reduction; both are useful and valuable works. De Haan,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Nouvelles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tables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d'intégrales définies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(Leyden, 1867), is a quarto volume of 727 pages containing evaluations of definite integrals, arranged in 485 tables. The first edition appeared in vol. 4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Transactions of</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Amsterdam Academy of Sciences. This edition, though not so full and accurate as the second, gives references to the original memoirs in which the different integrals are considered. B. O. Peirce’s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 Short Table of Integrals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(Boston, U.S.A., 1899) contains integrals, formulae, expansions, &amp;c., as well as some four-place numerical tables, including those of hyperbolic sines and cosines and their logarithms.</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Tables relating to the Theory of Numbers.—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These are of so technical a character and so numerous that a comprehensive account cannot be attempted here. The reader is referred to Cayley’s report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Brit.Ass. Rep.</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for 1875, p. 305, where a full description with references is given. Three tables published before that date may, however, be briefly noticed on account of their importance and because they form separate volumes: (1) C. F. Degen,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Canon Pellianus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(Copen</w:t>
        <w:softHyphen/>
        <w:t>hagen, 1817), relates to the indeterminate equation y</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ax</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 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for values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from J to 1000. It in fact gives the expression for √α as a continued fraction; (2)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C. G.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J. Jacobi,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Canon arithmeticus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(Berlin, 1839), is a quarto work containing 240 pages of tables, where we find for each prime up to 1000 the numbers corresponding to given indices and the indices corresponding to given numbers, a certain primitive root (10 is taken whenever it is a primitive root) of the prime being selected as base; (3) C. G. Reuschle,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Tafeln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com</w:t>
        <w:softHyphen/>
        <w:t xml:space="preserve">plexer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Primzahlen, welche aus Wurzeln der Einheit gebildet sind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(Berlin,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18/5), includes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an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enormous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mass </w:t>
      </w:r>
      <w:r>
        <w:rPr>
          <w:rFonts w:ascii="Times New Roman" w:eastAsia="Times New Roman" w:hAnsi="Times New Roman" w:cs="Times New Roman"/>
          <w:color w:val="000000"/>
          <w:spacing w:val="0"/>
          <w:w w:val="100"/>
          <w:position w:val="0"/>
          <w:sz w:val="17"/>
          <w:szCs w:val="17"/>
          <w:shd w:val="clear" w:color="auto" w:fill="auto"/>
          <w:lang w:val="en-US" w:eastAsia="en-US" w:bidi="en-US"/>
        </w:rPr>
        <w:t>of results relating to the higher complex theories.</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Passing now to tables published since the date of Cayley’s report, the two most important works are (1) Col. Allan Cunningham’s Binary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Canon,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(London, 1900), a quarto volume similar in construction, arrangement, purpose, and extent to Jacobi's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Canon arithmeticus,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differing from it in using the base 2 throughout,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Jacobi’s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Canon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base of each table is always a primitive root of the modulus, while in Cunningham’s it is always 2. The latter tables in fact give the residues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ol 2</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(where x=o, I, 2,.. . ) for every prime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power of a prime,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up to 1000, and also the indices x of 2*, which yield the residues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to the same moduli. This work contains a list of errors found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Canon arithmeticus.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(2) The same author’s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Quadratic Partitions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(London, 1904). These tables give for every prime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up to 100,0∞ the values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a, b∙,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c,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 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L, M </w:t>
      </w:r>
      <w:r>
        <w:rPr>
          <w:rFonts w:ascii="Times New Roman" w:eastAsia="Times New Roman" w:hAnsi="Times New Roman" w:cs="Times New Roman"/>
          <w:color w:val="000000"/>
          <w:spacing w:val="0"/>
          <w:w w:val="100"/>
          <w:position w:val="0"/>
          <w:sz w:val="17"/>
          <w:szCs w:val="17"/>
          <w:shd w:val="clear" w:color="auto" w:fill="auto"/>
          <w:lang w:val="en-US" w:eastAsia="en-US" w:bidi="en-US"/>
        </w:rPr>
        <w:t>where ∕&gt;=α</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+δ</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=c</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-J-2d</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.&lt;4</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-3B</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(i</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-27Λf</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They also give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 f</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where ρ=e</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-2f</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up to 25,000 and resolutions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into the forms ≈</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-5∕&gt;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KΛ</w:t>
      </w:r>
      <w:r>
        <w:rPr>
          <w:rFonts w:ascii="Times New Roman" w:eastAsia="Times New Roman" w:hAnsi="Times New Roman" w:cs="Times New Roman"/>
          <w:smallCaps/>
          <w:color w:val="000000"/>
          <w:spacing w:val="0"/>
          <w:w w:val="100"/>
          <w:position w:val="0"/>
          <w:sz w:val="17"/>
          <w:szCs w:val="17"/>
          <w:shd w:val="clear" w:color="auto" w:fill="auto"/>
          <w:vertAlign w:val="superscript"/>
          <w:lang w:val="en-US" w:eastAsia="en-US" w:bidi="en-US"/>
        </w:rPr>
        <w:t>,</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-5K</w:t>
      </w:r>
      <w:r>
        <w:rPr>
          <w:rFonts w:ascii="Times New Roman" w:eastAsia="Times New Roman" w:hAnsi="Times New Roman" w:cs="Times New Roman"/>
          <w:smallCaps/>
          <w:color w:val="000000"/>
          <w:spacing w:val="0"/>
          <w:w w:val="100"/>
          <w:position w:val="0"/>
          <w:sz w:val="17"/>
          <w:szCs w:val="17"/>
          <w:shd w:val="clear" w:color="auto" w:fill="auto"/>
          <w:vertAlign w:val="superscript"/>
          <w:lang w:val="en-US" w:eastAsia="en-US" w:bidi="en-US"/>
        </w:rPr>
        <w:t>s</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&lt;</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÷7</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Λ i(v</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n∞</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A'</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-3B'</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+5y'</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G</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+6H</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G'</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-6H'</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Z'</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-7√</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⅛</w:t>
      </w:r>
      <w:r>
        <w:rPr>
          <w:rFonts w:ascii="Times New Roman" w:eastAsia="Times New Roman" w:hAnsi="Times New Roman" w:cs="Times New Roman"/>
          <w:smallCaps/>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+icm</w:t>
      </w:r>
      <w:r>
        <w:rPr>
          <w:rFonts w:ascii="Times New Roman" w:eastAsia="Times New Roman" w:hAnsi="Times New Roman" w:cs="Times New Roman"/>
          <w:smallCaps/>
          <w:color w:val="000000"/>
          <w:spacing w:val="0"/>
          <w:w w:val="100"/>
          <w:position w:val="0"/>
          <w:sz w:val="17"/>
          <w:szCs w:val="17"/>
          <w:shd w:val="clear" w:color="auto" w:fill="auto"/>
          <w:vertAlign w:val="subscript"/>
          <w:lang w:val="en-US" w:eastAsia="en-US" w:bidi="en-US"/>
        </w:rPr>
        <w:t>7</w:t>
      </w:r>
      <w:r>
        <w:rPr>
          <w:rFonts w:ascii="Times New Roman" w:eastAsia="Times New Roman" w:hAnsi="Times New Roman" w:cs="Times New Roman"/>
          <w:smallCaps/>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w:t>
      </w:r>
      <w:r>
        <w:rPr>
          <w:rFonts w:ascii="Times New Roman" w:eastAsia="Times New Roman" w:hAnsi="Times New Roman" w:cs="Times New Roman"/>
          <w:smallCaps/>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-io√</w:t>
      </w:r>
      <w:r>
        <w:rPr>
          <w:rFonts w:ascii="Times New Roman" w:eastAsia="Times New Roman" w:hAnsi="Times New Roman" w:cs="Times New Roman"/>
          <w:smallCaps/>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w:t>
      </w:r>
      <w:r>
        <w:rPr>
          <w:rFonts w:ascii="Times New Roman" w:eastAsia="Times New Roman" w:hAnsi="Times New Roman" w:cs="Times New Roman"/>
          <w:smallCaps/>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-iiw'</w:t>
      </w:r>
      <w:r>
        <w:rPr>
          <w:rFonts w:ascii="Times New Roman" w:eastAsia="Times New Roman" w:hAnsi="Times New Roman" w:cs="Times New Roman"/>
          <w:smallCaps/>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up to 10,000; as well as the least solutions of r</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t</w:t>
      </w:r>
      <w:r>
        <w:rPr>
          <w:rFonts w:ascii="Times New Roman" w:eastAsia="Times New Roman" w:hAnsi="Times New Roman" w:cs="Times New Roman"/>
          <w:color w:val="000000"/>
          <w:spacing w:val="0"/>
          <w:w w:val="100"/>
          <w:position w:val="0"/>
          <w:sz w:val="17"/>
          <w:szCs w:val="17"/>
          <w:shd w:val="clear" w:color="auto" w:fill="auto"/>
          <w:lang w:val="en-US" w:eastAsia="en-US" w:bidi="en-US"/>
        </w:rPr>
        <w:t>-Dι</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 up to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D≈100</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least solutions of other similar equätions. A complete list of errata in the previous partition tables of Jacobi, Reuschle, Lloyd Tanner, and in this table is given by Allan Cunningham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Mess, of Math.,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1904, 34, p. 132. The resolution of o</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 into its numerical factors is treated in detail by C. E. Bickmore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Mess. of Math.,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1896, 25,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p.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 and 1897, 26, p. 1. On p. 43 of the former volume he gives a table of the known factors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n</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-1 for a=2,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3, 5, 6, 7, 10, 11, 12 and from n = 1 to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50. Other papers on the same subject contained in the same periodical are by Allan Cun</w:t>
        <w:softHyphen/>
        <w:t xml:space="preserve">ningham, 1900, 29, p. 145; 1904, 33, p. 95; and F. B. Escott,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ibid., </w:t>
      </w:r>
      <w:r>
        <w:rPr>
          <w:rFonts w:ascii="Times New Roman" w:eastAsia="Times New Roman" w:hAnsi="Times New Roman" w:cs="Times New Roman"/>
          <w:color w:val="000000"/>
          <w:spacing w:val="0"/>
          <w:w w:val="100"/>
          <w:position w:val="0"/>
          <w:sz w:val="17"/>
          <w:szCs w:val="17"/>
          <w:shd w:val="clear" w:color="auto" w:fill="auto"/>
          <w:lang w:val="en-US" w:eastAsia="en-US" w:bidi="en-US"/>
        </w:rPr>
        <w:t>p. 49. These papers contain references to other writings. Tables of the resolutions of 10</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 are referred to separately in this article under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Circulating Decimals.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x</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the smallest power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for which the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congruence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x</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≡ι</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(mod.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satisfied, then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said to belong to the exponent x for modulus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x may be called the chief exponent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(Haupt-exponent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by Allan Cunningham) of the base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for the modulus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so that (1) this exponent is the number of figures in the circulating period of the fraction 1</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ρ</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the scale of radix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(2) when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x = p-</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a primitive root of p</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Mess. of Math.,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1904, 33, p. 145, Allan Cunningham has given a complete list of Haupt-exponent tables with lists of errata in them; and in</w:t>
      </w:r>
    </w:p>
    <w:p>
      <w:pPr>
        <w:pStyle w:val="Style3"/>
        <w:keepNext w:val="0"/>
        <w:keepLines w:val="0"/>
        <w:widowControl w:val="0"/>
        <w:shd w:val="clear" w:color="auto" w:fill="auto"/>
        <w:tabs>
          <w:tab w:pos="408" w:val="left"/>
        </w:tabs>
        <w:bidi w:val="0"/>
        <w:spacing w:line="202" w:lineRule="auto"/>
        <w:ind w:left="0" w:firstLine="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Quar. Jour. Math.,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1906, 37, p. 122, he gives a table of Haupt- exponents of 2 for all primes up to 10,000.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Acta Math.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(1893, 17. p. 315; 1897, 20, p. 153; 1899, 22, p. 200) G. Wertheim has given the least primitive root of primes up to 5000. The follow</w:t>
        <w:softHyphen/>
        <w:t xml:space="preserve">ing papers contain lists of high primes or factorizations of high numbers: Allan Cunningham,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Mess. of Math.,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1906, 35, p. 166 (Pellian factorizations); 1907, 36, p. 145 (Quartan factorizations); 1908, 37, P∙ 65 (Trinomial binary factorizations); 1909, 38, pp. 81, 145 (Diophantive factorization of quartans); 1910, 39, pp. 33, 97;</w:t>
        <w:tab/>
        <w:t xml:space="preserve">1911, 40,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p. </w:t>
      </w:r>
      <w:r>
        <w:rPr>
          <w:rFonts w:ascii="Times New Roman" w:eastAsia="Times New Roman" w:hAnsi="Times New Roman" w:cs="Times New Roman"/>
          <w:color w:val="000000"/>
          <w:spacing w:val="0"/>
          <w:w w:val="100"/>
          <w:position w:val="0"/>
          <w:sz w:val="17"/>
          <w:szCs w:val="17"/>
          <w:shd w:val="clear" w:color="auto" w:fill="auto"/>
          <w:lang w:val="en-US" w:eastAsia="en-US" w:bidi="en-US"/>
        </w:rPr>
        <w:t>I (Sextan factorizations); 1902, 31, p. 165;</w:t>
      </w:r>
    </w:p>
    <w:p>
      <w:pPr>
        <w:pStyle w:val="Style3"/>
        <w:keepNext w:val="0"/>
        <w:keepLines w:val="0"/>
        <w:widowControl w:val="0"/>
        <w:shd w:val="clear" w:color="auto" w:fill="auto"/>
        <w:bidi w:val="0"/>
        <w:spacing w:line="199"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1905, 34, P∙ 72 (High primes). The last three are joint papers by Cunningham and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H. </w:t>
      </w:r>
      <w:r>
        <w:rPr>
          <w:rFonts w:ascii="Times New Roman" w:eastAsia="Times New Roman" w:hAnsi="Times New Roman" w:cs="Times New Roman"/>
          <w:color w:val="000000"/>
          <w:spacing w:val="0"/>
          <w:w w:val="100"/>
          <w:position w:val="0"/>
          <w:sz w:val="17"/>
          <w:szCs w:val="17"/>
          <w:shd w:val="clear" w:color="auto" w:fill="auto"/>
          <w:lang w:val="en-US" w:eastAsia="en-US" w:bidi="en-US"/>
        </w:rPr>
        <w:t>J. Woodall. Tables relating to the distri</w:t>
        <w:softHyphen/>
        <w:t xml:space="preserve">bution of primes are contained in the introduction to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Sixth Million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under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Factor Tables),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J. P. Gram’s paper on the number of primes inferior to a given limit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Vidensk. Selsk. Skr.,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1884, II. 6, Copenhagen, and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Mess, of Math.,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1902, 31, p. 172. A table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χ(n),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sum of the complex numbers having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for norm, for primes and powers of primes up to n = 13,000 by Glaisher, was published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Quar. Jour. Math.,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1885, 20, p. 152, and a seven-place table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f</w:t>
      </w:r>
      <w:r>
        <w:rPr>
          <w:rFonts w:ascii="Times New Roman" w:eastAsia="Times New Roman" w:hAnsi="Times New Roman" w:cs="Times New Roman"/>
          <w:color w:val="000000"/>
          <w:spacing w:val="0"/>
          <w:w w:val="100"/>
          <w:position w:val="0"/>
          <w:sz w:val="17"/>
          <w:szCs w:val="17"/>
          <w:shd w:val="clear" w:color="auto" w:fill="auto"/>
          <w:lang w:val="en-US" w:eastAsia="en-US" w:bidi="en-US"/>
        </w:rPr>
        <w:t>(x) and log</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10</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f</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(x), where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f</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(x) denotes </w:t>
      </w:r>
      <w:r>
        <w:rPr>
          <w:rFonts w:ascii="Times New Roman" w:eastAsia="Times New Roman" w:hAnsi="Times New Roman" w:cs="Times New Roman"/>
          <w:color w:val="000000"/>
          <w:spacing w:val="0"/>
          <w:w w:val="100"/>
          <w:position w:val="0"/>
          <w:sz w:val="17"/>
          <w:szCs w:val="17"/>
          <w:shd w:val="clear" w:color="auto" w:fill="auto"/>
          <w:lang w:val="en-US" w:eastAsia="en-US" w:bidi="en-US"/>
        </w:rPr>
        <w:t>½</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⅔</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∙4/5 · · ∙^^~&gt; the denominators being the series of prime numbers up to 10,000,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Mess. of Math.,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1899, 28,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p. </w:t>
      </w:r>
      <w:r>
        <w:rPr>
          <w:rFonts w:ascii="Times New Roman" w:eastAsia="Times New Roman" w:hAnsi="Times New Roman" w:cs="Times New Roman"/>
          <w:color w:val="000000"/>
          <w:spacing w:val="0"/>
          <w:w w:val="100"/>
          <w:position w:val="0"/>
          <w:sz w:val="17"/>
          <w:szCs w:val="17"/>
          <w:shd w:val="clear" w:color="auto" w:fill="auto"/>
          <w:lang w:val="en-US" w:eastAsia="en-US" w:bidi="en-US"/>
        </w:rPr>
        <w:t>I.</w:t>
      </w:r>
    </w:p>
    <w:p>
      <w:pPr>
        <w:pStyle w:val="Style3"/>
        <w:keepNext w:val="0"/>
        <w:keepLines w:val="0"/>
        <w:widowControl w:val="0"/>
        <w:shd w:val="clear" w:color="auto" w:fill="auto"/>
        <w:bidi w:val="0"/>
        <w:spacing w:line="187" w:lineRule="auto"/>
        <w:ind w:left="0" w:firstLine="36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Bibliography.</w:t>
      </w:r>
      <w:r>
        <w:rPr>
          <w:rFonts w:ascii="Times New Roman" w:eastAsia="Times New Roman" w:hAnsi="Times New Roman" w:cs="Times New Roman"/>
          <w:color w:val="000000"/>
          <w:spacing w:val="0"/>
          <w:w w:val="100"/>
          <w:position w:val="0"/>
          <w:sz w:val="17"/>
          <w:szCs w:val="17"/>
          <w:shd w:val="clear" w:color="auto" w:fill="auto"/>
          <w:lang w:val="en-US" w:eastAsia="en-US" w:bidi="en-US"/>
        </w:rPr>
        <w:t>—Bibliographical and historical information re</w:t>
        <w:softHyphen/>
        <w:t xml:space="preserve">lating to tables is collected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Brit.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Ass.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Rep.</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for 1873, p. 6. The prin</w:t>
        <w:softHyphen/>
        <w:t xml:space="preserve">cipal works are:—J. C.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Heilbronner,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IIistoria Matheseos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(Leipzig, 1742), the arithmetical portion being at the end J. E. Scheibel,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Einlei</w:t>
        <w:softHyphen/>
        <w:t>tung zur mathematischen Bücherkenntniss</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(Breslau, 1771-84);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A. G.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Kästner,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Geschichte der Mathematik</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(Göttingen,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1796-1800), vol.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iii. ;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F.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G.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Murhard,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Bibliotheca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Mathematica</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(Leipzig,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1797-1804), vol.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ii. ;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J.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Rogg,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Bibliotheca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Mathematica</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(Tübingen, </w:t>
      </w:r>
      <w:r>
        <w:rPr>
          <w:rFonts w:ascii="Times New Roman" w:eastAsia="Times New Roman" w:hAnsi="Times New Roman" w:cs="Times New Roman"/>
          <w:color w:val="000000"/>
          <w:spacing w:val="0"/>
          <w:w w:val="100"/>
          <w:position w:val="0"/>
          <w:sz w:val="17"/>
          <w:szCs w:val="17"/>
          <w:shd w:val="clear" w:color="auto" w:fill="auto"/>
          <w:lang w:val="en-US" w:eastAsia="en-US" w:bidi="en-US"/>
        </w:rPr>
        <w:t>1830), and continuation from 1830 to 1854 by L. A. Sohnke (Leipzig and London, 1</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854)J</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J∙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de Lalande,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Bibliographie astronomique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(Paris, 1803), a separate index on p. 960. A great deal of information upon early tables is given by J. B. .J. Delambre,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Histoire de l'astronomie moderne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(Paris, 1821), vol. i. ; and in Nos. xix. and xx. of C. Hutton’s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Mathematical Tracts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(1812). For lists of logarithmic tables of all kinds see De Haan,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Verslagen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en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Mededeelingen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of the Amster</w:t>
        <w:softHyphen/>
        <w:t xml:space="preserve">dam Academy of Sciences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(Abt. Natuurkunde)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1862, xiv. 15,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Verhandelingen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of the same academy, 1875, </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xv</w:t>
      </w:r>
      <w:r>
        <w:rPr>
          <w:rFonts w:ascii="Times New Roman" w:eastAsia="Times New Roman" w:hAnsi="Times New Roman" w:cs="Times New Roman"/>
          <w:color w:val="000000"/>
          <w:spacing w:val="0"/>
          <w:w w:val="100"/>
          <w:position w:val="0"/>
          <w:sz w:val="17"/>
          <w:szCs w:val="17"/>
          <w:shd w:val="clear" w:color="auto" w:fill="auto"/>
          <w:lang w:val="en-US" w:eastAsia="en-US" w:bidi="en-US"/>
        </w:rPr>
        <w:t>∙ separately paged.</w:t>
      </w:r>
    </w:p>
    <w:p>
      <w:pPr>
        <w:pStyle w:val="Style3"/>
        <w:keepNext w:val="0"/>
        <w:keepLines w:val="0"/>
        <w:widowControl w:val="0"/>
        <w:shd w:val="clear" w:color="auto" w:fill="auto"/>
        <w:bidi w:val="0"/>
        <w:spacing w:line="187"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De Morgan’s article “ Tables,” which appeared first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Penny Cyclopaedia,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afterwards with additions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English Cyclo</w:t>
        <w:softHyphen/>
        <w:t>paedia,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gives not only a good deal of bibliographical information., but also an account of tables relating to life assurance and annuities, astronomical tables, commercial tables, &amp;c.</w:t>
      </w:r>
    </w:p>
    <w:p>
      <w:pPr>
        <w:pStyle w:val="Style3"/>
        <w:keepNext w:val="0"/>
        <w:keepLines w:val="0"/>
        <w:widowControl w:val="0"/>
        <w:shd w:val="clear" w:color="auto" w:fill="auto"/>
        <w:tabs>
          <w:tab w:pos="3907" w:val="left"/>
        </w:tabs>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Reference should also be made to R. Mehmke’s valuable article “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Numerisches Rechnen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vol. i. pt. ii. pp. 941-1079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Encyk.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der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math. Wiss.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(Leipzig, 1900-4), which besides tables includes calcu</w:t>
        <w:softHyphen/>
        <w:t>lating machines, graphical methods, &amp;c.</w:t>
        <w:tab/>
        <w:t>(J. W. L. G.)</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TABLE MOUNTAIN </w:t>
      </w:r>
      <w:r>
        <w:rPr>
          <w:rFonts w:ascii="Times New Roman" w:eastAsia="Times New Roman" w:hAnsi="Times New Roman" w:cs="Times New Roman"/>
          <w:color w:val="000000"/>
          <w:spacing w:val="0"/>
          <w:w w:val="100"/>
          <w:position w:val="0"/>
          <w:shd w:val="clear" w:color="auto" w:fill="auto"/>
          <w:lang w:val="en-US" w:eastAsia="en-US" w:bidi="en-US"/>
        </w:rPr>
        <w:t xml:space="preserve">(Dutch </w:t>
      </w:r>
      <w:r>
        <w:rPr>
          <w:rFonts w:ascii="Times New Roman" w:eastAsia="Times New Roman" w:hAnsi="Times New Roman" w:cs="Times New Roman"/>
          <w:i/>
          <w:iCs/>
          <w:color w:val="000000"/>
          <w:spacing w:val="0"/>
          <w:w w:val="100"/>
          <w:position w:val="0"/>
          <w:shd w:val="clear" w:color="auto" w:fill="auto"/>
          <w:lang w:val="de-DE" w:eastAsia="de-DE" w:bidi="de-DE"/>
        </w:rPr>
        <w:t>Tafelberg),</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name frequently given in South Africa to flat-topped hills and mountains, there a characteristic feature of the scenery. Occasionally such hills are called </w:t>
      </w:r>
      <w:r>
        <w:rPr>
          <w:rFonts w:ascii="Times New Roman" w:eastAsia="Times New Roman" w:hAnsi="Times New Roman" w:cs="Times New Roman"/>
          <w:i/>
          <w:iCs/>
          <w:color w:val="000000"/>
          <w:spacing w:val="0"/>
          <w:w w:val="100"/>
          <w:position w:val="0"/>
          <w:shd w:val="clear" w:color="auto" w:fill="auto"/>
          <w:lang w:val="en-US" w:eastAsia="en-US" w:bidi="en-US"/>
        </w:rPr>
        <w:t>plat, i.e.</w:t>
      </w:r>
      <w:r>
        <w:rPr>
          <w:rFonts w:ascii="Times New Roman" w:eastAsia="Times New Roman" w:hAnsi="Times New Roman" w:cs="Times New Roman"/>
          <w:color w:val="000000"/>
          <w:spacing w:val="0"/>
          <w:w w:val="100"/>
          <w:position w:val="0"/>
          <w:shd w:val="clear" w:color="auto" w:fill="auto"/>
          <w:lang w:val="en-US" w:eastAsia="en-US" w:bidi="en-US"/>
        </w:rPr>
        <w:t xml:space="preserve"> flat, </w:t>
      </w:r>
      <w:r>
        <w:rPr>
          <w:rFonts w:ascii="Times New Roman" w:eastAsia="Times New Roman" w:hAnsi="Times New Roman" w:cs="Times New Roman"/>
          <w:i/>
          <w:iCs/>
          <w:color w:val="000000"/>
          <w:spacing w:val="0"/>
          <w:w w:val="100"/>
          <w:position w:val="0"/>
          <w:shd w:val="clear" w:color="auto" w:fill="auto"/>
          <w:lang w:val="de-DE" w:eastAsia="de-DE" w:bidi="de-DE"/>
        </w:rPr>
        <w:t>bergen.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Specifically Table Mountain is the mountain which arises behind Table Bay, in the Cape Peninsula, Cape Town lying at its seaward base and on its adjacent lower slopes. The mountain forms the northern end of a range of hills which terminates southward in the Cape of Good Hope. The northern face of the mountain, overlooking Table Bay, extends like a great wall some two miles in length, and rises precipitously to a height of over 3500 ft. The face is scored with ravines, a particularly deep cleft, known as The Gorge, affording the shortest means of access to the summit. East and west of the mountain and a little in advance of it are lesser hills, the Devil’s Peak (3300 ft.) being to the east and Lion’s Head (2100 ft.) to the west. Lion’s Head ends seaward in Signal Hill (1100 ft.). The western side of Table Mountain faces the Atlantic, and is flanked by the hills known as The Twelve Apostles; to the south Hout’s Bay Nek connects it with the remainder of the range; on the east the mountain overlooks the Cape Flats. On this side its slopes are less steep, and at its foot are </w:t>
      </w:r>
      <w:r>
        <w:rPr>
          <w:rFonts w:ascii="Times New Roman" w:eastAsia="Times New Roman" w:hAnsi="Times New Roman" w:cs="Times New Roman"/>
          <w:color w:val="000000"/>
          <w:spacing w:val="0"/>
          <w:w w:val="100"/>
          <w:position w:val="0"/>
          <w:shd w:val="clear" w:color="auto" w:fill="auto"/>
          <w:lang w:val="de-DE" w:eastAsia="de-DE" w:bidi="de-DE"/>
        </w:rPr>
        <w:t xml:space="preserve">Rondebosch, </w:t>
      </w:r>
      <w:r>
        <w:rPr>
          <w:rFonts w:ascii="Times New Roman" w:eastAsia="Times New Roman" w:hAnsi="Times New Roman" w:cs="Times New Roman"/>
          <w:color w:val="000000"/>
          <w:spacing w:val="0"/>
          <w:w w:val="100"/>
          <w:position w:val="0"/>
          <w:shd w:val="clear" w:color="auto" w:fill="auto"/>
          <w:lang w:val="en-US" w:eastAsia="en-US" w:bidi="en-US"/>
        </w:rPr>
        <w:t xml:space="preserve">Newlands, Wynberg, and other residential suburbs of Cape Town. The ascent of the mountain from Wynberg by Hout’s Bay Nek is practicable for horses. The surface of the summit (the highest point is variously stated at 3549&gt; 3582 and 3850 ft.) is broken into small valleys and hills, and is covered with luxuriant vegetation, its flora including the superb orchid </w:t>
      </w:r>
      <w:r>
        <w:rPr>
          <w:rFonts w:ascii="Times New Roman" w:eastAsia="Times New Roman" w:hAnsi="Times New Roman" w:cs="Times New Roman"/>
          <w:i/>
          <w:iCs/>
          <w:color w:val="000000"/>
          <w:spacing w:val="0"/>
          <w:w w:val="100"/>
          <w:position w:val="0"/>
          <w:shd w:val="clear" w:color="auto" w:fill="auto"/>
          <w:lang w:val="en-US" w:eastAsia="en-US" w:bidi="en-US"/>
        </w:rPr>
        <w:t>Disa grandiflora</w:t>
      </w:r>
      <w:r>
        <w:rPr>
          <w:rFonts w:ascii="Times New Roman" w:eastAsia="Times New Roman" w:hAnsi="Times New Roman" w:cs="Times New Roman"/>
          <w:color w:val="000000"/>
          <w:spacing w:val="0"/>
          <w:w w:val="100"/>
          <w:position w:val="0"/>
          <w:shd w:val="clear" w:color="auto" w:fill="auto"/>
          <w:lang w:val="en-US" w:eastAsia="en-US" w:bidi="en-US"/>
        </w:rPr>
        <w:t xml:space="preserve"> and the well-known silver tree. The Kasteel-Berg (Castle Mount), a northern buttress of the mountain, has its own peculiar flora. Table Mountain and its connected hills are famous for the magnificence of their scenery. The kloof between the mountain and Lion’s Head is of singular</w:t>
      </w:r>
    </w:p>
    <w:sectPr>
      <w:footnotePr>
        <w:pos w:val="pageBottom"/>
        <w:numFmt w:val="decimal"/>
        <w:numRestart w:val="continuous"/>
      </w:footnotePr>
      <w:pgSz w:w="12240" w:h="15840"/>
      <w:pgMar w:top="955" w:left="859" w:right="893" w:bottom="49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