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had considerable literary culture, and was proud to claim descent from the historian, whose works he caused to be transcribed at the public </w:t>
      </w:r>
      <w:r>
        <w:rPr>
          <w:rFonts w:ascii="Times New Roman" w:eastAsia="Times New Roman" w:hAnsi="Times New Roman" w:cs="Times New Roman"/>
          <w:color w:val="000000"/>
          <w:spacing w:val="0"/>
          <w:w w:val="100"/>
          <w:position w:val="0"/>
          <w:shd w:val="clear" w:color="auto" w:fill="auto"/>
          <w:lang w:val="fr-FR" w:eastAsia="fr-FR" w:bidi="fr-FR"/>
        </w:rPr>
        <w:t xml:space="preserve">experse </w:t>
      </w:r>
      <w:r>
        <w:rPr>
          <w:rFonts w:ascii="Times New Roman" w:eastAsia="Times New Roman" w:hAnsi="Times New Roman" w:cs="Times New Roman"/>
          <w:color w:val="000000"/>
          <w:spacing w:val="0"/>
          <w:w w:val="100"/>
          <w:position w:val="0"/>
          <w:shd w:val="clear" w:color="auto" w:fill="auto"/>
          <w:lang w:val="en-US" w:eastAsia="en-US" w:bidi="en-US"/>
        </w:rPr>
        <w:t>and placed in the public libraries. Tacitus possessed many admirable qualities, but his gentle character and advanced age unfitted him for the throne in such lawless times.</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Life by Vopiscus in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Historiae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Augustae Scriptores;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also Eutropius, ix. 10; Aurelius Victor,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Caesares,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36; Zonaras xii. 28; H. Schiller,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Geschichte der römischen Kaiserzeit,</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i. 1883; Pauly-Wissowa,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Realencyclopddie,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iii.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2871 </w:t>
      </w:r>
      <w:r>
        <w:rPr>
          <w:rFonts w:ascii="Times New Roman" w:eastAsia="Times New Roman" w:hAnsi="Times New Roman" w:cs="Times New Roman"/>
          <w:color w:val="000000"/>
          <w:spacing w:val="0"/>
          <w:w w:val="100"/>
          <w:position w:val="0"/>
          <w:sz w:val="17"/>
          <w:szCs w:val="17"/>
          <w:shd w:val="clear" w:color="auto" w:fill="auto"/>
          <w:lang w:val="de-DE" w:eastAsia="de-DE" w:bidi="de-DE"/>
        </w:rPr>
        <w:t>ff.</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TACNA, </w:t>
      </w:r>
      <w:r>
        <w:rPr>
          <w:rFonts w:ascii="Times New Roman" w:eastAsia="Times New Roman" w:hAnsi="Times New Roman" w:cs="Times New Roman"/>
          <w:color w:val="000000"/>
          <w:spacing w:val="0"/>
          <w:w w:val="100"/>
          <w:position w:val="0"/>
          <w:shd w:val="clear" w:color="auto" w:fill="auto"/>
          <w:lang w:val="en-US" w:eastAsia="en-US" w:bidi="en-US"/>
        </w:rPr>
        <w:t xml:space="preserve">a northern province of Chile, in dispute with Peru from 1893 onwards, bounded N. by Peru, E. by Bolivia, S. by Tarapaca, and W. by the Pacific. Area, 9251 sq. m. Pop. (1895) 24,160. It belongs to the desert region of the Pacific coast, and is valuable because of its deposits of nitrate of soda and some undeveloped mineral resources. There are a few fertile spots near the mountains, where mountain streams afford irrigation and potable water, and support small populations, but in general Tacna is occupied for mining purposes only. None of its streams crosses the entire width of the province; they are all lost in its desert sands. The climate is hot, and earthquakes are frequent and sometimes violent. There is one railway in the province, running from the city of Tacna to Arica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fr-FR" w:eastAsia="fr-FR" w:bidi="fr-FR"/>
        </w:rPr>
        <w:t>q.v.</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1910 another from Arica to </w:t>
      </w:r>
      <w:r>
        <w:rPr>
          <w:rFonts w:ascii="Times New Roman" w:eastAsia="Times New Roman" w:hAnsi="Times New Roman" w:cs="Times New Roman"/>
          <w:color w:val="000000"/>
          <w:spacing w:val="0"/>
          <w:w w:val="100"/>
          <w:position w:val="0"/>
          <w:shd w:val="clear" w:color="auto" w:fill="auto"/>
          <w:lang w:val="fr-FR" w:eastAsia="fr-FR" w:bidi="fr-FR"/>
        </w:rPr>
        <w:t xml:space="preserve">La Paz, </w:t>
      </w:r>
      <w:r>
        <w:rPr>
          <w:rFonts w:ascii="Times New Roman" w:eastAsia="Times New Roman" w:hAnsi="Times New Roman" w:cs="Times New Roman"/>
          <w:color w:val="000000"/>
          <w:spacing w:val="0"/>
          <w:w w:val="100"/>
          <w:position w:val="0"/>
          <w:shd w:val="clear" w:color="auto" w:fill="auto"/>
          <w:lang w:val="en-US" w:eastAsia="en-US" w:bidi="en-US"/>
        </w:rPr>
        <w:t>Bolivia, was under construction by the Chilean government. The pro</w:t>
        <w:softHyphen/>
        <w:t xml:space="preserve">vince consists of two departments, Tacna and Arica, which once formed part of the Peruvian department of Moquegua. Its capital is Tacna (pop. 1895, 9418; 1902, estimated 11,504), a small inland town 48 m. by rail from Arica, in a fertile valley among the foothills of the Andes. Existence is made possible in this oasis by a small mountain stream, also called Tacna, which supports a scanty vegetation. The town owes its existence to the Bolivian trade from </w:t>
      </w:r>
      <w:r>
        <w:rPr>
          <w:rFonts w:ascii="Times New Roman" w:eastAsia="Times New Roman" w:hAnsi="Times New Roman" w:cs="Times New Roman"/>
          <w:color w:val="000000"/>
          <w:spacing w:val="0"/>
          <w:w w:val="100"/>
          <w:position w:val="0"/>
          <w:shd w:val="clear" w:color="auto" w:fill="auto"/>
          <w:lang w:val="fr-FR" w:eastAsia="fr-FR" w:bidi="fr-FR"/>
        </w:rPr>
        <w:t xml:space="preserve">La Paz </w:t>
      </w:r>
      <w:r>
        <w:rPr>
          <w:rFonts w:ascii="Times New Roman" w:eastAsia="Times New Roman" w:hAnsi="Times New Roman" w:cs="Times New Roman"/>
          <w:color w:val="000000"/>
          <w:spacing w:val="0"/>
          <w:w w:val="100"/>
          <w:position w:val="0"/>
          <w:shd w:val="clear" w:color="auto" w:fill="auto"/>
          <w:lang w:val="en-US" w:eastAsia="en-US" w:bidi="en-US"/>
        </w:rPr>
        <w:t>and Oruro, and is the residence of a number of foreign merchants. Tacna was captured by a Chilean force under General Baquedano on the 27th of May 1880.</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close of the war between Chile and Peru (1879-1883), the terms of the treaty of Ancon (signed by representatives of the two countries on the 20th of October 1883) were practically dictated by Chile, and by one of the provisions the Peruvian provinces of Tacna and Arica were to be occupied and exploited by Chile for a period of ten years, when a plebiscite should be taken of their inhabitants to determine whether they would remain with Chile or return to Peru, the country acquiring the two provinces in this manner to pay the other $10,000,000. At the termination of the period Peru wished the plebiscite to be left to the original population, while Chile wanted it to include the large number of Chilean labourers sent into the province. Chile refused to submit the dispute to arbitration, and it remained unsettled. Meanwhile Chile expelled the Peruvian priests, and treated the province more like a conquered territory than a temporary pledge.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TACOMA, </w:t>
      </w:r>
      <w:r>
        <w:rPr>
          <w:rFonts w:ascii="Times New Roman" w:eastAsia="Times New Roman" w:hAnsi="Times New Roman" w:cs="Times New Roman"/>
          <w:color w:val="000000"/>
          <w:spacing w:val="0"/>
          <w:w w:val="100"/>
          <w:position w:val="0"/>
          <w:shd w:val="clear" w:color="auto" w:fill="auto"/>
          <w:lang w:val="en-US" w:eastAsia="en-US" w:bidi="en-US"/>
        </w:rPr>
        <w:t xml:space="preserve">a city and sub-port of entry, and the county-seat of Pierce county, Washington, U.S.A., on Commencement Bay of Puget Sound, at the mouth of Puyallup river, about 80 m. from the Pacific coast, and about 23 m. S.S.W. of Seattle. Pop. (1890) 36,006; (1900) 37,714, of whom 11,032 were foreign- born (including 1603 Swedes, 1534 English-Canadians, 1474 Norwegians, 1424 Germans, and 1323 English; (1910, U.S. census) 83,743. Tacoma is served by the Northern Pacific, the Chicago, Milwaukee &amp; Puget Sound, and the Tacoma Eastern railways; the Chicago, Burlington &amp; Quincy railway operates through trains to and from Missouri river points and Tacoma, over the Northern Pacific tracks, which are also used by the Great Northern and Oregon &amp; Washington railways. There is electric railway connexion with Seattle. Tacoma is the starting-point of steamship lines to Alaska, to San Francisco, and to Seattle, Port Townsend, Olympia, Victoria, and other ports on Puget Sound. There are trans-oceanic lines to Japan and China, to the Philippines and Hawaii, and to London, Liverpool and Glasgow, by way of the Suez Canal. The city is situated on an excellent harbour and has 25 m. of waterfront. From the tidelands the city site slopes gradually to a plateau </w:t>
      </w:r>
      <w:r>
        <w:rPr>
          <w:rFonts w:ascii="Times New Roman" w:eastAsia="Times New Roman" w:hAnsi="Times New Roman" w:cs="Times New Roman"/>
          <w:color w:val="000000"/>
          <w:spacing w:val="0"/>
          <w:w w:val="100"/>
          <w:position w:val="0"/>
          <w:shd w:val="clear" w:color="auto" w:fill="auto"/>
          <w:lang w:val="en-US" w:eastAsia="en-US" w:bidi="en-US"/>
        </w:rPr>
        <w:t>about 300 ft. high, commanding fine views of Puget Sound and its wooded islands, and parts of the Cascade and Olympic ranges. Tacoma is the seat of Whitworth College (1890, Presbyterian), the University of Puget Sound (19c3, Methodist Episcopal), the Annie Wright Seminary (1884), a boarding and day school for girls, and the Pacific Lutheran Academy and Business College. The Tacoma High School has an excellent stadium for athletic contests, seating 25,000. The city has a Carnegie library (1899), with about 51,000 volumes. Among other public buildings are the court house, the city hall, in which are the rooms of the State Historical Society (organized, 1891; incorporated, 1897); the Federal Building; an armoury; the Chamber of Commerce, and several fine churches. The Ferry Museum, founded by Clinton P. Ferry, has interesting historical and ethnological collections. In 1910 the city had seven public parks (1120 acres), including Point Defiance, a thickly wooded park (about 640 acres), and, in the centre of the city, Wright Park, in which is the Seymour Conservatory. Tacoma is a sub-port of entry in the Puget Sound Customs district (of which Port Townsend is the official port), which is second only to San Francisco on the Pacific coast in the volume of foreign trade. The city has a large jobbing trade, a coal supply from rich de</w:t>
        <w:softHyphen/>
        <w:t>posits in Pierce county, and abundant water-power from swift mountain streams, which is used for generating electricity for municipal and industrial use. In 1900 and in 1905 Tacoma ranked second among the cities of the state in the value of factory products. Lead smelting and refining (by one establish</w:t>
        <w:softHyphen/>
        <w:t>ment) was the most important industry in 1905; lumber, timber and planing mill products, valued at $3,407,951, were produced in that year, and flour and grist mill products, valued at $2,293,587. Other important manufactures were furniture, ships and boats, railway cars (the Chicago, Milwaukee &amp; Puget Sound and the Northern Pacific systems having shops here), engines, machinery, shoes, water pipes, preserves and beer. In 1905 the total value of the factory products was $12,501,816, an increase of 121∙4% since 1900. The assessed property valuation of the city in 1909 was $54,226,261, being about 42% of the actual valuation.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site of Tacoma was visited by Captain George Vancouver in 1792; Commencement Bay was surveyed for the United States government by Lieutenant Charles Wilkes in 1841, and the present city was founded by General Morton Matthew McCarver in 1868 and was at first called Commencement City. That name was soon changed to Tacoma, said to be a corruption of </w:t>
      </w:r>
      <w:r>
        <w:rPr>
          <w:rFonts w:ascii="Times New Roman" w:eastAsia="Times New Roman" w:hAnsi="Times New Roman" w:cs="Times New Roman"/>
          <w:i/>
          <w:iCs/>
          <w:color w:val="000000"/>
          <w:spacing w:val="0"/>
          <w:w w:val="100"/>
          <w:position w:val="0"/>
          <w:shd w:val="clear" w:color="auto" w:fill="auto"/>
          <w:lang w:val="en-US" w:eastAsia="en-US" w:bidi="en-US"/>
        </w:rPr>
        <w:t>Ta-ho-ma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Ta-ho-bet,</w:t>
      </w:r>
      <w:r>
        <w:rPr>
          <w:rFonts w:ascii="Times New Roman" w:eastAsia="Times New Roman" w:hAnsi="Times New Roman" w:cs="Times New Roman"/>
          <w:color w:val="000000"/>
          <w:spacing w:val="0"/>
          <w:w w:val="100"/>
          <w:position w:val="0"/>
          <w:shd w:val="clear" w:color="auto" w:fill="auto"/>
          <w:lang w:val="en-US" w:eastAsia="en-US" w:bidi="en-US"/>
        </w:rPr>
        <w:t xml:space="preserve"> Indian terms meaning “ greatest white peak,” the name of the peak (14,526 ft.), also called Mt. Rainier, about 50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S.E. of the city. General McCarver’s original plat included what is now the first ward of the city, and is called the Old Town. In 1873 the Northern Pacific railway (com</w:t>
        <w:softHyphen/>
        <w:t>pleted in 1887) established its terminal on Commencement Bay, and named it New Tacoma. A town government was formed in 1874, the place became the county-seat in 1880, and in 1883 the two “ towns ” were consolidated and incorporated as a city under the name Tacoma. In 1909 a new city charter was adopted under which the city government is vested in five commissioners (one of whom acts as mayor), each in charge of a city department.</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TACTICS </w:t>
      </w:r>
      <w:r>
        <w:rPr>
          <w:rFonts w:ascii="Times New Roman" w:eastAsia="Times New Roman" w:hAnsi="Times New Roman" w:cs="Times New Roman"/>
          <w:color w:val="000000"/>
          <w:spacing w:val="0"/>
          <w:w w:val="100"/>
          <w:position w:val="0"/>
          <w:shd w:val="clear" w:color="auto" w:fill="auto"/>
          <w:lang w:val="en-US" w:eastAsia="en-US" w:bidi="en-US"/>
        </w:rPr>
        <w:t>(Gr. τακτικ</w:t>
      </w:r>
      <w:r>
        <w:rPr>
          <w:rFonts w:ascii="Times New Roman" w:eastAsia="Times New Roman" w:hAnsi="Times New Roman" w:cs="Times New Roman"/>
          <w:color w:val="000000"/>
          <w:spacing w:val="0"/>
          <w:w w:val="100"/>
          <w:position w:val="0"/>
          <w:shd w:val="clear" w:color="auto" w:fill="auto"/>
          <w:lang w:val="en-US" w:eastAsia="en-US" w:bidi="en-US"/>
        </w:rPr>
        <w:t>ή</w:t>
      </w:r>
      <w:r>
        <w:rPr>
          <w:rFonts w:ascii="Times New Roman" w:eastAsia="Times New Roman" w:hAnsi="Times New Roman" w:cs="Times New Roman"/>
          <w:color w:val="000000"/>
          <w:spacing w:val="0"/>
          <w:w w:val="100"/>
          <w:position w:val="0"/>
          <w:shd w:val="clear" w:color="auto" w:fill="auto"/>
          <w:lang w:val="en-US" w:eastAsia="en-US" w:bidi="en-US"/>
        </w:rPr>
        <w:t xml:space="preserve">, sc. </w:t>
      </w:r>
      <w:r>
        <w:rPr>
          <w:rFonts w:ascii="Times New Roman" w:eastAsia="Times New Roman" w:hAnsi="Times New Roman" w:cs="Times New Roman"/>
          <w:i/>
          <w:iCs/>
          <w:color w:val="000000"/>
          <w:spacing w:val="0"/>
          <w:w w:val="100"/>
          <w:position w:val="0"/>
          <w:shd w:val="clear" w:color="auto" w:fill="auto"/>
          <w:lang w:val="en-US" w:eastAsia="en-US" w:bidi="en-US"/>
        </w:rPr>
        <w:t>τiχvη,</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hd w:val="clear" w:color="auto" w:fill="auto"/>
          <w:lang w:val="en-US" w:eastAsia="en-US" w:bidi="en-US"/>
        </w:rPr>
        <w:t>τaσσeιv,</w:t>
      </w:r>
      <w:r>
        <w:rPr>
          <w:rFonts w:ascii="Times New Roman" w:eastAsia="Times New Roman" w:hAnsi="Times New Roman" w:cs="Times New Roman"/>
          <w:color w:val="000000"/>
          <w:spacing w:val="0"/>
          <w:w w:val="100"/>
          <w:position w:val="0"/>
          <w:shd w:val="clear" w:color="auto" w:fill="auto"/>
          <w:lang w:val="en-US" w:eastAsia="en-US" w:bidi="en-US"/>
        </w:rPr>
        <w:t xml:space="preserve"> to arrange in order of battle).@@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It may perhaps seem superfluous at the present time to emphasize the distinction between strategy and tactics. Moreover, definitions are rarely quite satisfactory, for they can seldom be perfectly clear and at the same time perfectly comprehensive. Yet, since it is necessary that the parties to any discussion should have some common starting- point, it will be as well to begin by stating exactly what is meant to be included under the heading of this article.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Strategy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is the art of bringing the enemy to battle on terms disadvantageous to him. Combined, or to use the phraseology of the Napoleonic era, “ grand ” tactics are the</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Unlike the French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actique,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German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Taktik,</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indeed all other forms, the English word is invariably treated as a plural noun.</w:t>
      </w:r>
    </w:p>
    <w:sectPr>
      <w:footnotePr>
        <w:pos w:val="pageBottom"/>
        <w:numFmt w:val="decimal"/>
        <w:numRestart w:val="continuous"/>
      </w:footnotePr>
      <w:pgSz w:w="12240" w:h="15840"/>
      <w:pgMar w:top="1152" w:left="1034" w:right="1071" w:bottom="8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