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roads from accepting freight from the Toledo, Ann Arbor &amp; North Michigan railroad, against which a “ legal ” strike had been declared. Judge Taft granted an injunction (7th March 1893) against the Pennsylvania railroad, making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Μ. Arthur, chief of the Brotherhood, a party, and called Rule 12, forbidding engineers to haul the freight, criminal. During the great railway strikes of 1894 Eugene V. Debs, president of the American Railway Union, sent one Frank W. Phelan to tie up traffic in and around Cincinnati. The receiver of the Cincinnati, New Orleans &amp; Texas Pacific railway applied for an injunction against Phelan and others, which was granted. Phelan disobeyed the injunction and on the 13th of July 1894 was sentenced to jail for six months for contempt. The doctrine that “ the starvation of a nation cannot be the lawful purpose of a combination ” was announced, and Judge Taft said further that “ if there is any power in the army of the United States to run those trains, the trains will be run.” In 1896-1900 Judge Taft was professor and dean of the law department of the University of Cincinnati.</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movement to elect Mr Taft president of Yale University gained some strength in 1898-99, but was promptly checked by him, on the ground that the head of a great university should be primarily an educationalist. In 1900 he was asked by President McKinley to accept the presidency of the Philippine Commission charged with the administration of the islands. Though he had been opposed to the acquisition of the Philippines, he did not believe that the inhabitants were capable of self- government, and he foresaw some of the difficulties of the position. Yielding, however, to the urgent request of the president and his cabinet, he accepted and served from the 13th of March 1900 to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February 1904. On the establishment of civil government in the islands, on the 4th of July 1901, he became governor, </w:t>
      </w:r>
      <w:r>
        <w:rPr>
          <w:rFonts w:ascii="Times New Roman" w:eastAsia="Times New Roman" w:hAnsi="Times New Roman" w:cs="Times New Roman"/>
          <w:i/>
          <w:iCs/>
          <w:color w:val="000000"/>
          <w:spacing w:val="0"/>
          <w:w w:val="100"/>
          <w:position w:val="0"/>
          <w:shd w:val="clear" w:color="auto" w:fill="auto"/>
          <w:lang w:val="en-US" w:eastAsia="en-US" w:bidi="en-US"/>
        </w:rPr>
        <w:t>ex officio.</w:t>
      </w:r>
      <w:r>
        <w:rPr>
          <w:rFonts w:ascii="Times New Roman" w:eastAsia="Times New Roman" w:hAnsi="Times New Roman" w:cs="Times New Roman"/>
          <w:color w:val="000000"/>
          <w:spacing w:val="0"/>
          <w:w w:val="100"/>
          <w:position w:val="0"/>
          <w:shd w:val="clear" w:color="auto" w:fill="auto"/>
          <w:lang w:val="en-US" w:eastAsia="en-US" w:bidi="en-US"/>
        </w:rPr>
        <w:t xml:space="preserve"> The task of construct</w:t>
        <w:softHyphen/>
        <w:t xml:space="preserve">ing a system of government from the bottom, of reconciling the conflicting and often jealously sensitive elements, called for tact, firmness, industry and deep insight into human nature, all of which Governor Taft displayed in a marked degree. (See </w:t>
      </w:r>
      <w:r>
        <w:rPr>
          <w:rFonts w:ascii="Times New Roman" w:eastAsia="Times New Roman" w:hAnsi="Times New Roman" w:cs="Times New Roman"/>
          <w:smallCaps/>
          <w:color w:val="000000"/>
          <w:spacing w:val="0"/>
          <w:w w:val="100"/>
          <w:position w:val="0"/>
          <w:shd w:val="clear" w:color="auto" w:fill="auto"/>
          <w:lang w:val="en-US" w:eastAsia="en-US" w:bidi="en-US"/>
        </w:rPr>
        <w:t>Philippine Islands.)</w:t>
      </w:r>
      <w:r>
        <w:rPr>
          <w:rFonts w:ascii="Times New Roman" w:eastAsia="Times New Roman" w:hAnsi="Times New Roman" w:cs="Times New Roman"/>
          <w:color w:val="000000"/>
          <w:spacing w:val="0"/>
          <w:w w:val="100"/>
          <w:position w:val="0"/>
          <w:shd w:val="clear" w:color="auto" w:fill="auto"/>
          <w:lang w:val="en-US" w:eastAsia="en-US" w:bidi="en-US"/>
        </w:rPr>
        <w:t xml:space="preserve"> The religious orders had been driven out during the insurrection, but held title to large tracts of land which many Filipinos and some Americans wished to confiscate. This delicate matter was arranged by Mr Taft in a personal interview with Pope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XIII. in the summer of 1902. The pope sent a special delegate to appraise the lands, and the sum of $7,239,000 was paid in December 1903. Mr Taft gained great influence among the more conservative Filipinos, and their entreaties to him to remain influenced him to decline the offer of a place upon the Supreme bench offered by President Roosevelt in 1902.</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Finally, feeling that his work was accomplished, Mr. Taft returned to the United States to become secretary of war from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February 1904. With a party of congressmen he visited the Philippines on a tour of inspection July-September 1905, and in September 1906, on the downfall of the Cuban republic and the intervention of America, he took temporary charge of affairs in that island (September-October). In the next year (March-April) he inspected the Panama Canal and also visited Cuba and Porto Rico. He again visited the Philippines to open the first legislative assembly (16th October 1907), and returned by way of the Trans-Siberian railway. On this tour he visited Japan, and on the 2nd of October, at Tokyo, made a speech which had an important effect in quieting the appre</w:t>
        <w:softHyphen/>
        <w:t>hensions of the Japanese on the score of the treatment of their people on the Pacific coast.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approach of the presidential election of 1908, President Roosevelt reiterated his pledge not to accept another nomination, and threw his immense influence in favour of Mr Taft. At the Republican convention held in Chicago, in June, Mr Taft was nominated on the first ballot, receiving 702 out of 980 votes cast. James S. Sherman of New York was nominated for Vice-President. During the campaign many prominent labour leaders opposed the election of Mr Taft, on the ground that his decisions while on the bench had been unfriendly to organized labour. In the campaign Mr Taft boldly defended </w:t>
      </w:r>
      <w:r>
        <w:rPr>
          <w:rFonts w:ascii="Times New Roman" w:eastAsia="Times New Roman" w:hAnsi="Times New Roman" w:cs="Times New Roman"/>
          <w:color w:val="000000"/>
          <w:spacing w:val="0"/>
          <w:w w:val="100"/>
          <w:position w:val="0"/>
          <w:shd w:val="clear" w:color="auto" w:fill="auto"/>
          <w:lang w:val="en-US" w:eastAsia="en-US" w:bidi="en-US"/>
        </w:rPr>
        <w:t>his course from the platform, and apparently lost few votes on account of this opposition. At the ensuing election in November, Taft and Sherman received 321 electoral votes against 162 cast for William Jennings Bryan and John W. Kern, the Democratic candidates.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 inaugural address (4th March 1909) President Taft announced himself as favouring the maintenance and enforce</w:t>
        <w:softHyphen/>
        <w:t>ment of the reforms initiated by President Roosevelt (including a strict enforcement of the Sherman Anti-Trust Act, an effective measure for railway rate regulation, and the policy of conserva</w:t>
        <w:softHyphen/>
        <w:t>tion of natural resources); the revision of the tariff on the basis of affording protection to American manufactures equal to the difference between home and foreign cost of production; a graduated inheritance tax; a strong navy as the best guarantee of peace; postal savings banks; free trade with the Philippine Islands; and mail subsidies for American ships. He also announced his hope to bring about a better understanding between the North and the South, and to aid in the solution of the negro problem. In accordance with his pre-election pledge, Congress was called to meet in extra session on the 15th of March to revise the tariff. Hearings had been previously held by the Ways and Means Committee of the House of Representatives, and a measure was promptly reported. After passing the House it was sent to the Senate, where it was much changed. The final Payne-Aldrich Act was approved by the President on the 5th of August 1909, though in many respects it was not the measure he desired. The wish to meet people of the different sections of the country and to explain his position upon the questions of the day led the President to begin (14th September 1909), a tour which included the Pacific coast, the South-west, the Mississippi Valley and the South Atlantic states, and during which he travelled 13,000 miles and made 266 speeches.</w:t>
      </w:r>
    </w:p>
    <w:p>
      <w:pPr>
        <w:pStyle w:val="Style3"/>
        <w:keepNext w:val="0"/>
        <w:keepLines w:val="0"/>
        <w:widowControl w:val="0"/>
        <w:shd w:val="clear" w:color="auto" w:fill="auto"/>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Mr Taft delivered the Dodge lectures at Yale University in 1906 on the Responsibilities of Citizenship, published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Four Aspects of Civic Duty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Some of his political speeches have been published under the titles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Present Day Problems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Polticial Issues and Outlooks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TAGANROG, a </w:t>
      </w:r>
      <w:r>
        <w:rPr>
          <w:rFonts w:ascii="Times New Roman" w:eastAsia="Times New Roman" w:hAnsi="Times New Roman" w:cs="Times New Roman"/>
          <w:color w:val="000000"/>
          <w:spacing w:val="0"/>
          <w:w w:val="100"/>
          <w:position w:val="0"/>
          <w:shd w:val="clear" w:color="auto" w:fill="auto"/>
          <w:lang w:val="en-US" w:eastAsia="en-US" w:bidi="en-US"/>
        </w:rPr>
        <w:t xml:space="preserve">seaport of southern Russia, on the N. shore of the Sea of Azov, in the Don Cossacks territory, some 170 m. S.E. of the town of Ekaterinoslav. It is built principally of wood, stands on a low cape, and has the aspect of an important commercial city. The imperial palace, where Alexander I. died in 1825, and the Greek monastery (under the patriarch of Jerusalem) are worthy of notice. Statues of Alexander I. (1830) and Peter the Great (1903) adorn the town. In the 13th century Pisan merchants founded there a colony, </w:t>
      </w:r>
      <w:r>
        <w:rPr>
          <w:rFonts w:ascii="Times New Roman" w:eastAsia="Times New Roman" w:hAnsi="Times New Roman" w:cs="Times New Roman"/>
          <w:i/>
          <w:iCs/>
          <w:color w:val="000000"/>
          <w:spacing w:val="0"/>
          <w:w w:val="100"/>
          <w:position w:val="0"/>
          <w:shd w:val="clear" w:color="auto" w:fill="auto"/>
          <w:lang w:val="en-US" w:eastAsia="en-US" w:bidi="en-US"/>
        </w:rPr>
        <w:t>Portus Pisanus,</w:t>
      </w:r>
      <w:r>
        <w:rPr>
          <w:rFonts w:ascii="Times New Roman" w:eastAsia="Times New Roman" w:hAnsi="Times New Roman" w:cs="Times New Roman"/>
          <w:color w:val="000000"/>
          <w:spacing w:val="0"/>
          <w:w w:val="100"/>
          <w:position w:val="0"/>
          <w:shd w:val="clear" w:color="auto" w:fill="auto"/>
          <w:lang w:val="en-US" w:eastAsia="en-US" w:bidi="en-US"/>
        </w:rPr>
        <w:t xml:space="preserve"> which, however, soon disappeared during the migra</w:t>
        <w:softHyphen/>
        <w:t>tions of the Mongols and Turks. An attempt to obtain pos</w:t>
        <w:softHyphen/>
        <w:t>session of the promontory was made by Peter the Great, but it was not definitely annexed by the Russians until seventy years afterwards (1769). The commercial importance of the town dates from the second half of the 19th century; in 1870 its population had risen to 38.000, and after it was brought into railway connexion with Kharkov and Voronezh, and thus with the fertile provinces of south and south-east Russia, the increase was still more rapid, the number reaching 56,047 in 1885, and 58,928 in 1900—Greeks, Jews, Armenians and West-Europeans being important elements. The town was bombarded and in part destroyed by an Anglo-French fleet in May 1855. Taganrog is an episcopal see of the Orthodox Greek Church, and has tanneries, tallow works and tobacco manufactures. The road</w:t>
        <w:softHyphen/>
        <w:t>stead is very shallow, and exposed to winds which cause great variations in the height of the water; it is, moreover, rapidly silting up. At the quay the depth of water is only 8 to 9 feet, and large ships have to lie 5 to 13 miles from the town. More</w:t>
        <w:softHyphen/>
        <w:t>over, the port is closed by ice three to four months in the year. Notwithstanding the disadvantages of its open roadstead, the foreign trade has rapidly expanded, the annual value of the exports having increased from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millions sterling in 1899 to over 10 millions sterling in 1904. The chief article of export being corn, the trade of the city is subject to great fluctuations. Linseed and other oil-bearing grains are also important articles</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