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cut. The word talc, sometimes written talk, is said to come from the Arabic </w:t>
      </w:r>
      <w:r>
        <w:rPr>
          <w:rFonts w:ascii="Times New Roman" w:eastAsia="Times New Roman" w:hAnsi="Times New Roman" w:cs="Times New Roman"/>
          <w:i/>
          <w:iCs/>
          <w:color w:val="000000"/>
          <w:spacing w:val="0"/>
          <w:w w:val="100"/>
          <w:position w:val="0"/>
          <w:shd w:val="clear" w:color="auto" w:fill="auto"/>
          <w:lang w:val="en-US" w:eastAsia="en-US" w:bidi="en-US"/>
        </w:rPr>
        <w:t>talq,</w:t>
      </w:r>
      <w:r>
        <w:rPr>
          <w:rFonts w:ascii="Times New Roman" w:eastAsia="Times New Roman" w:hAnsi="Times New Roman" w:cs="Times New Roman"/>
          <w:color w:val="000000"/>
          <w:spacing w:val="0"/>
          <w:w w:val="100"/>
          <w:position w:val="0"/>
          <w:shd w:val="clear" w:color="auto" w:fill="auto"/>
          <w:lang w:val="en-US" w:eastAsia="en-US" w:bidi="en-US"/>
        </w:rPr>
        <w:t xml:space="preserve"> and not to be connected, as has been fancifully suggested, with the Swedish </w:t>
      </w:r>
      <w:r>
        <w:rPr>
          <w:rFonts w:ascii="Times New Roman" w:eastAsia="Times New Roman" w:hAnsi="Times New Roman" w:cs="Times New Roman"/>
          <w:i/>
          <w:iCs/>
          <w:color w:val="000000"/>
          <w:spacing w:val="0"/>
          <w:w w:val="100"/>
          <w:position w:val="0"/>
          <w:shd w:val="clear" w:color="auto" w:fill="auto"/>
          <w:lang w:val="en-US" w:eastAsia="en-US" w:bidi="en-US"/>
        </w:rPr>
        <w:t>lälja, “</w:t>
      </w:r>
      <w:r>
        <w:rPr>
          <w:rFonts w:ascii="Times New Roman" w:eastAsia="Times New Roman" w:hAnsi="Times New Roman" w:cs="Times New Roman"/>
          <w:color w:val="000000"/>
          <w:spacing w:val="0"/>
          <w:w w:val="100"/>
          <w:position w:val="0"/>
          <w:shd w:val="clear" w:color="auto" w:fill="auto"/>
          <w:lang w:val="en-US" w:eastAsia="en-US" w:bidi="en-US"/>
        </w:rPr>
        <w:t xml:space="preserve"> to cut.” Talc and mica were confused by the older writers, and even at the present day mica is sometimes known in trade as talc; whilst the term was formerly applied also to foliated gypsum.</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Talc is found occasionally in small hexagonal and rhombic plates, with perfect basal cleavage, and they are supposed to be monoclinic. Talc often occurs in foliated masses, sometimes with a curved surface, readily separating into thin very flexible, non-elastic laminae. The plates give a six-rayed percussion-figure. Talc has a hardness of only about I, and a specific gravity of from 2∙6 to 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8. Its extreme softness and its greasy feel are characteristic. The lustre on the cleavage face is pearly, or sometimes silvery, and one of the old names of the mineral was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stella </w:t>
      </w:r>
      <w:r>
        <w:rPr>
          <w:rFonts w:ascii="Times New Roman" w:eastAsia="Times New Roman" w:hAnsi="Times New Roman" w:cs="Times New Roman"/>
          <w:i/>
          <w:iCs/>
          <w:color w:val="000000"/>
          <w:spacing w:val="0"/>
          <w:w w:val="100"/>
          <w:position w:val="0"/>
          <w:shd w:val="clear" w:color="auto" w:fill="auto"/>
          <w:lang w:val="de-DE" w:eastAsia="de-DE" w:bidi="de-DE"/>
        </w:rPr>
        <w:t>terrae,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while German writers sometimes called it </w:t>
      </w:r>
      <w:r>
        <w:rPr>
          <w:rFonts w:ascii="Times New Roman" w:eastAsia="Times New Roman" w:hAnsi="Times New Roman" w:cs="Times New Roman"/>
          <w:i/>
          <w:iCs/>
          <w:color w:val="000000"/>
          <w:spacing w:val="0"/>
          <w:w w:val="100"/>
          <w:position w:val="0"/>
          <w:shd w:val="clear" w:color="auto" w:fill="auto"/>
          <w:lang w:val="de-DE" w:eastAsia="de-DE" w:bidi="de-DE"/>
        </w:rPr>
        <w:t>Katzensilber.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colour is white, grey, yellow or frequently green. The' mineral has strong bire</w:t>
        <w:softHyphen/>
        <w:t>fringence and a small optic axial angle.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Talc is a magnesium silicate 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Mg</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Si</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It is generally regarded as a hydrous silicate, but the water is expelled only at a very strong heat, and may therefore be regarded as basic. By the action of heat the hardness of the mineral is greatly increased. Γseudomorphs are known after actinolite, pyr</w:t>
        <w:softHyphen/>
        <w:t>oxene, &amp;c., and the mineral has probably been generally formed by the alteration of ferro-magnesian silicates. Talc occurs chiefly in crystalline schists, usually associated with chlorite, serpentine and dolomite. Fine examples of apple-green colour are found at Mount Greiner, in the Zillerthal, Tirol. Talc-schist is a foliated rock composed chiefly of talc, generally associated with quartz and felspar; but all soapy schists are not neces</w:t>
        <w:softHyphen/>
        <w:t xml:space="preserve">sarily </w:t>
      </w:r>
      <w:r>
        <w:rPr>
          <w:rFonts w:ascii="Times New Roman" w:eastAsia="Times New Roman" w:hAnsi="Times New Roman" w:cs="Times New Roman"/>
          <w:color w:val="000000"/>
          <w:spacing w:val="0"/>
          <w:w w:val="100"/>
          <w:position w:val="0"/>
          <w:shd w:val="clear" w:color="auto" w:fill="auto"/>
          <w:lang w:val="fr-FR" w:eastAsia="fr-FR" w:bidi="fr-FR"/>
        </w:rPr>
        <w:t xml:space="preserve">talcose. </w:t>
      </w:r>
      <w:r>
        <w:rPr>
          <w:rFonts w:ascii="Times New Roman" w:eastAsia="Times New Roman" w:hAnsi="Times New Roman" w:cs="Times New Roman"/>
          <w:color w:val="000000"/>
          <w:spacing w:val="0"/>
          <w:w w:val="100"/>
          <w:position w:val="0"/>
          <w:shd w:val="clear" w:color="auto" w:fill="auto"/>
          <w:lang w:val="en-US" w:eastAsia="en-US" w:bidi="en-US"/>
        </w:rPr>
        <w:t>The pearly micaceous constituent of the Alpine protogine is a muscovite.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 steatites ” of Pliny was a stone resembling fat, but other</w:t>
        <w:softHyphen/>
        <w:t>wise undescribed. Being easily cut, steatite has always been a favourite material with the carver: it was used for Egyptian scarabs and other amulets, which were usually coated with a blue vitreous glaze; and it was employed for Assyrian cylinder</w:t>
        <w:softHyphen/>
        <w:t>seals and for other ancient signets. By the Chinese steatite is largely used for ornamental carvings, but many of their “ soap</w:t>
        <w:softHyphen/>
        <w:t>stone ” figures are wrought in a compact pyrophyllite (</w:t>
      </w:r>
      <w:r>
        <w:rPr>
          <w:rFonts w:ascii="Times New Roman" w:eastAsia="Times New Roman" w:hAnsi="Times New Roman" w:cs="Times New Roman"/>
          <w:i/>
          <w:iCs/>
          <w:color w:val="000000"/>
          <w:spacing w:val="0"/>
          <w:w w:val="100"/>
          <w:position w:val="0"/>
          <w:shd w:val="clear" w:color="auto" w:fill="auto"/>
          <w:lang w:val="en-US" w:eastAsia="en-US" w:bidi="en-US"/>
        </w:rPr>
        <w:t xml:space="preserve">q.v.), </w:t>
      </w:r>
      <w:r>
        <w:rPr>
          <w:rFonts w:ascii="Times New Roman" w:eastAsia="Times New Roman" w:hAnsi="Times New Roman" w:cs="Times New Roman"/>
          <w:color w:val="000000"/>
          <w:spacing w:val="0"/>
          <w:w w:val="100"/>
          <w:position w:val="0"/>
          <w:shd w:val="clear" w:color="auto" w:fill="auto"/>
          <w:lang w:val="en-US" w:eastAsia="en-US" w:bidi="en-US"/>
        </w:rPr>
        <w:t>which is essentially different from talc. The name agalmatolite is often applied to the material of these figures, and was sug</w:t>
        <w:softHyphen/>
        <w:t xml:space="preserve">gested by Μ. H. Klaproth from the Greek </w:t>
      </w:r>
      <w:r>
        <w:rPr>
          <w:rFonts w:ascii="Times New Roman" w:eastAsia="Times New Roman" w:hAnsi="Times New Roman" w:cs="Times New Roman"/>
          <w:color w:val="000000"/>
          <w:spacing w:val="0"/>
          <w:w w:val="100"/>
          <w:position w:val="0"/>
          <w:shd w:val="clear" w:color="auto" w:fill="auto"/>
          <w:lang w:val="el-GR" w:eastAsia="el-GR" w:bidi="el-GR"/>
        </w:rPr>
        <w:t xml:space="preserve">άγαλμα, </w:t>
      </w:r>
      <w:r>
        <w:rPr>
          <w:rFonts w:ascii="Times New Roman" w:eastAsia="Times New Roman" w:hAnsi="Times New Roman" w:cs="Times New Roman"/>
          <w:color w:val="000000"/>
          <w:spacing w:val="0"/>
          <w:w w:val="100"/>
          <w:position w:val="0"/>
          <w:shd w:val="clear" w:color="auto" w:fill="auto"/>
          <w:lang w:val="en-US" w:eastAsia="en-US" w:bidi="en-US"/>
        </w:rPr>
        <w:t>“ an image.” Pagodite is an old name for Chinese figure-stone. Ancient steatite carvings are found among the ruins of Rhodesia.</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Steatite is usually a white, grey, greenish or brown substance, occurring in veins or nodular masses or in lenticular bedded deposits. Pseudomorphs after quartz and dolomite occur near Wunsiedel in Bavaria. In some cases it is a product of the alteration of pyroxenic rocks, and the commercial mineral may be very impure. The ease with which steatite may be worked, coupled with its power of resisting heat, has led to its employment for vessels for household use, whence it is called “ potstone ”—the </w:t>
      </w:r>
      <w:r>
        <w:rPr>
          <w:rFonts w:ascii="Times New Roman" w:eastAsia="Times New Roman" w:hAnsi="Times New Roman" w:cs="Times New Roman"/>
          <w:i/>
          <w:iCs/>
          <w:color w:val="000000"/>
          <w:spacing w:val="0"/>
          <w:w w:val="100"/>
          <w:position w:val="0"/>
          <w:shd w:val="clear" w:color="auto" w:fill="auto"/>
          <w:lang w:val="en-US" w:eastAsia="en-US" w:bidi="en-US"/>
        </w:rPr>
        <w:t>lapis ollaris</w:t>
      </w:r>
      <w:r>
        <w:rPr>
          <w:rFonts w:ascii="Times New Roman" w:eastAsia="Times New Roman" w:hAnsi="Times New Roman" w:cs="Times New Roman"/>
          <w:color w:val="000000"/>
          <w:spacing w:val="0"/>
          <w:w w:val="100"/>
          <w:position w:val="0"/>
          <w:shd w:val="clear" w:color="auto" w:fill="auto"/>
          <w:lang w:val="en-US" w:eastAsia="en-US" w:bidi="en-US"/>
        </w:rPr>
        <w:t xml:space="preserve"> of old writers. Among the uses of steatite may be mentioned its employment, especially in America, for sinks, stoves, firebricks, foot-warmers, tips for gas- burners and electric switchboards: when ground it is used as a filler for paper, for leather-dressing, for covering steam-pipes, as an ingredient in soap, for toilet-powder, for certain paints and as a lubricant. A fine granular steatite is used by tailors for mark</w:t>
        <w:softHyphen/>
        <w:t>ing cloth under the name of “ French chalk ” or “ Spanish chalk.” Slate pencils are made of steatite and pyrophyllite; and in Burma steatite pencils are used for writing on black paper. In the oxyhydrogen flame, steatite has been fused and drawn out into threads, like quartz-fibres.</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Steatite and talc-schists are widely distributed, and have occasion</w:t>
        <w:softHyphen/>
        <w:t>ally been used as building stones. When first raised the stone is soft, but hardens on exposure. Soapstone from Gudbrandsdal is used in the cathedral of Trondhjem in Norway. Veins of steatite occur in the serpentine of the Lizard district in Cornwall, and the mineral was used under the name of soap rock in the manufac</w:t>
        <w:softHyphen/>
        <w:t xml:space="preserve">ture of the old Worcester porcelain. Among localities of steatite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the British Isles mention may be made of Crohy Head and Gartan near Letterkenny in co. Donegal, Ireland; the Shetland isles, the Hebrides (Harris) and Shiness in Sutherland. In North America the distribution of the mineral is very extensive; localities of economic importance are near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Gouverneur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elsewhere in St Lawrence co., New York; at Francestown in New Hampshire; Stockbridge, Windsor co., Vermont; Lynnfield, Massachusetts; near Lafayette, Pennsylvania ; Albemarle, Amelia, Buckingham, Fairfax and Fluvanna cos., Virginia; Cherokee, Moore and Swain cos., North Carolina; and in Murray co., Georgia.</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fibrous steatite from New York state, used in the manufacture of paper, is known as agalite. Rensselaerite is a wax-like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talcose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substance, passing into serpentine, from St Lawrence co., New York, named by E. Emmons in 1837 after S. Van Rensselaer, of Albany, N.Y. Beaconite is an asbestiform talc from Michigan, named by L. W. Hubbard. The term pyrallolite was given by Nils G. Nordenskiöld to a mineral from Finland, which appears to be talc pseudomorphous after pyroxene. Talcoid was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K. </w:t>
      </w:r>
      <w:r>
        <w:rPr>
          <w:rFonts w:ascii="Times New Roman" w:eastAsia="Times New Roman" w:hAnsi="Times New Roman" w:cs="Times New Roman"/>
          <w:color w:val="000000"/>
          <w:spacing w:val="0"/>
          <w:w w:val="100"/>
          <w:position w:val="0"/>
          <w:sz w:val="17"/>
          <w:szCs w:val="17"/>
          <w:shd w:val="clear" w:color="auto" w:fill="auto"/>
          <w:lang w:val="en-US" w:eastAsia="en-US" w:bidi="en-US"/>
        </w:rPr>
        <w:t>F. Naumann’s name for a white lamellar mineral from near Pressnitz in Bohemia. A blue earthy mineral from near Silver City, New Mexico, known locally as “ native ultramarine,” is a magnesium silicate.</w:t>
      </w:r>
    </w:p>
    <w:p>
      <w:pPr>
        <w:pStyle w:val="Style3"/>
        <w:keepNext w:val="0"/>
        <w:keepLines w:val="0"/>
        <w:widowControl w:val="0"/>
        <w:shd w:val="clear" w:color="auto" w:fill="auto"/>
        <w:tabs>
          <w:tab w:pos="3888" w:val="left"/>
        </w:tabs>
        <w:bidi w:val="0"/>
        <w:spacing w:line="18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 Talc and Soapstone" in vol. ii.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Mineral Resources of the 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(Washington, 1909), and J. H. Pratt, “ Economic Papers,” No. 3 of Geol. Surv. of N. Carolina (1900) ; also E. W. Parker in 19th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Report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U.S. Geol. S11rv. (1898); C. H. Smyth, junior,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Fibrous Talc Industry of St Lawrence Co.,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N.Y., in “ Mineral Industry,” vol. ix., for 1900; and G. P. Merrill’s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Non-metallic Minerals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(New York, 1904).</w:t>
        <w:tab/>
        <w:t>(F. W. R.*)</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TALCA, </w:t>
      </w:r>
      <w:r>
        <w:rPr>
          <w:rFonts w:ascii="Times New Roman" w:eastAsia="Times New Roman" w:hAnsi="Times New Roman" w:cs="Times New Roman"/>
          <w:color w:val="000000"/>
          <w:spacing w:val="0"/>
          <w:w w:val="100"/>
          <w:position w:val="0"/>
          <w:shd w:val="clear" w:color="auto" w:fill="auto"/>
          <w:lang w:val="en-US" w:eastAsia="en-US" w:bidi="en-US"/>
        </w:rPr>
        <w:t>a province of Chile, bounded N. by Curico, E. by Argentina, S. by Linares and Maule, and W. by the Pacific. Area 3840 sq. m. Pop. (1895) 128,961. In the E. the Andean slopes cover a considerable part of its territory, and in the W. another large area is covered by the coast range. Between these is the central valley of Chile in which the population and industries of the province are chiefly concentrated. The mountainous parts are well wooded. The intermediate plain, which is rolling and slopes gently to the S., is fertile and devoted to wheat and stock. The capital of the province is Talca (pop. 1895, 33,232; 1902 estimated 42,766), on the Rio Claro, a tributary of the Maule, 156 m. by rail S. of Santiago. It is one of the most important provincial towns and commercial centres of central Chile. There are woollen factories, especially for the universally worn “ poncho.” Talca has railway con</w:t>
        <w:softHyphen/>
        <w:t>nexion with Santiago on the N., with Concepción on the S., and with Constitución at the mouth of the Maule.</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TALCAHUANO,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Talcaguano,</w:t>
      </w:r>
      <w:r>
        <w:rPr>
          <w:rFonts w:ascii="Times New Roman" w:eastAsia="Times New Roman" w:hAnsi="Times New Roman" w:cs="Times New Roman"/>
          <w:color w:val="000000"/>
          <w:spacing w:val="0"/>
          <w:w w:val="100"/>
          <w:position w:val="0"/>
          <w:shd w:val="clear" w:color="auto" w:fill="auto"/>
          <w:lang w:val="en-US" w:eastAsia="en-US" w:bidi="en-US"/>
        </w:rPr>
        <w:t xml:space="preserve"> a seaport of the province of Concepcion, Chile, on the bay of Concepcion, 8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N.W. of the city and port of that name. Pop. (1895) 10,431; (1902, estimated) 13,499. It is sheltered by the island of Quiriquina. It has the best harbour on the Pacific coast of South America, and is one of the most important ports of southern Chile, being connected by rail with Concepcion, Santiago and southern Chile. Its foreign trade is large and steadily increasing. The Chilean government has established its chief naval depot here.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TALE </w:t>
      </w:r>
      <w:r>
        <w:rPr>
          <w:rFonts w:ascii="Times New Roman" w:eastAsia="Times New Roman" w:hAnsi="Times New Roman" w:cs="Times New Roman"/>
          <w:color w:val="000000"/>
          <w:spacing w:val="0"/>
          <w:w w:val="100"/>
          <w:position w:val="0"/>
          <w:shd w:val="clear" w:color="auto" w:fill="auto"/>
          <w:lang w:val="en-US" w:eastAsia="en-US" w:bidi="en-US"/>
        </w:rPr>
        <w:t xml:space="preserve">(O.Eng. </w:t>
      </w:r>
      <w:r>
        <w:rPr>
          <w:rFonts w:ascii="Times New Roman" w:eastAsia="Times New Roman" w:hAnsi="Times New Roman" w:cs="Times New Roman"/>
          <w:i/>
          <w:iCs/>
          <w:color w:val="000000"/>
          <w:spacing w:val="0"/>
          <w:w w:val="100"/>
          <w:position w:val="0"/>
          <w:shd w:val="clear" w:color="auto" w:fill="auto"/>
          <w:lang w:val="en-US" w:eastAsia="en-US" w:bidi="en-US"/>
        </w:rPr>
        <w:t>talu,</w:t>
      </w:r>
      <w:r>
        <w:rPr>
          <w:rFonts w:ascii="Times New Roman" w:eastAsia="Times New Roman" w:hAnsi="Times New Roman" w:cs="Times New Roman"/>
          <w:color w:val="000000"/>
          <w:spacing w:val="0"/>
          <w:w w:val="100"/>
          <w:position w:val="0"/>
          <w:shd w:val="clear" w:color="auto" w:fill="auto"/>
          <w:lang w:val="en-US" w:eastAsia="en-US" w:bidi="en-US"/>
        </w:rPr>
        <w:t xml:space="preserve"> number, account, story; the word is common to many Teutonic languages; </w:t>
      </w:r>
      <w:r>
        <w:rPr>
          <w:rFonts w:ascii="Times New Roman" w:eastAsia="Times New Roman" w:hAnsi="Times New Roman" w:cs="Times New Roman"/>
          <w:color w:val="000000"/>
          <w:spacing w:val="0"/>
          <w:w w:val="100"/>
          <w:position w:val="0"/>
          <w:shd w:val="clear" w:color="auto" w:fill="auto"/>
          <w:lang w:val="de-DE" w:eastAsia="de-DE" w:bidi="de-DE"/>
        </w:rPr>
        <w:t xml:space="preserve">cf. </w:t>
      </w:r>
      <w:r>
        <w:rPr>
          <w:rFonts w:ascii="Times New Roman" w:eastAsia="Times New Roman" w:hAnsi="Times New Roman" w:cs="Times New Roman"/>
          <w:color w:val="000000"/>
          <w:spacing w:val="0"/>
          <w:w w:val="100"/>
          <w:position w:val="0"/>
          <w:shd w:val="clear" w:color="auto" w:fill="auto"/>
          <w:lang w:val="en-US" w:eastAsia="en-US" w:bidi="en-US"/>
        </w:rPr>
        <w:t xml:space="preserve">Ger. </w:t>
      </w:r>
      <w:r>
        <w:rPr>
          <w:rFonts w:ascii="Times New Roman" w:eastAsia="Times New Roman" w:hAnsi="Times New Roman" w:cs="Times New Roman"/>
          <w:i/>
          <w:iCs/>
          <w:color w:val="000000"/>
          <w:spacing w:val="0"/>
          <w:w w:val="100"/>
          <w:position w:val="0"/>
          <w:shd w:val="clear" w:color="auto" w:fill="auto"/>
          <w:lang w:val="de-DE" w:eastAsia="de-DE" w:bidi="de-DE"/>
        </w:rPr>
        <w:t>Zahl·,</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number, </w:t>
      </w:r>
      <w:r>
        <w:rPr>
          <w:rFonts w:ascii="Times New Roman" w:eastAsia="Times New Roman" w:hAnsi="Times New Roman" w:cs="Times New Roman"/>
          <w:i/>
          <w:iCs/>
          <w:color w:val="000000"/>
          <w:spacing w:val="0"/>
          <w:w w:val="100"/>
          <w:position w:val="0"/>
          <w:shd w:val="clear" w:color="auto" w:fill="auto"/>
          <w:lang w:val="de-DE" w:eastAsia="de-DE" w:bidi="de-DE"/>
        </w:rPr>
        <w:t>Erzählung,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narrative, Du. </w:t>
      </w:r>
      <w:r>
        <w:rPr>
          <w:rFonts w:ascii="Times New Roman" w:eastAsia="Times New Roman" w:hAnsi="Times New Roman" w:cs="Times New Roman"/>
          <w:i/>
          <w:iCs/>
          <w:color w:val="000000"/>
          <w:spacing w:val="0"/>
          <w:w w:val="100"/>
          <w:position w:val="0"/>
          <w:shd w:val="clear" w:color="auto" w:fill="auto"/>
          <w:lang w:val="en-US" w:eastAsia="en-US" w:bidi="en-US"/>
        </w:rPr>
        <w:t>taal,</w:t>
      </w:r>
      <w:r>
        <w:rPr>
          <w:rFonts w:ascii="Times New Roman" w:eastAsia="Times New Roman" w:hAnsi="Times New Roman" w:cs="Times New Roman"/>
          <w:color w:val="000000"/>
          <w:spacing w:val="0"/>
          <w:w w:val="100"/>
          <w:position w:val="0"/>
          <w:shd w:val="clear" w:color="auto" w:fill="auto"/>
          <w:lang w:val="en-US" w:eastAsia="en-US" w:bidi="en-US"/>
        </w:rPr>
        <w:t xml:space="preserve"> speech, language), a general term, in the usual acceptance of the word, for fictitious narra</w:t>
        <w:softHyphen/>
        <w:t xml:space="preserve">tives, long or short, ancient or modern (see </w:t>
      </w:r>
      <w:r>
        <w:rPr>
          <w:rFonts w:ascii="Times New Roman" w:eastAsia="Times New Roman" w:hAnsi="Times New Roman" w:cs="Times New Roman"/>
          <w:smallCaps/>
          <w:color w:val="000000"/>
          <w:spacing w:val="0"/>
          <w:w w:val="100"/>
          <w:position w:val="0"/>
          <w:shd w:val="clear" w:color="auto" w:fill="auto"/>
          <w:lang w:val="en-US" w:eastAsia="en-US" w:bidi="en-US"/>
        </w:rPr>
        <w:t>Novel).</w:t>
      </w:r>
      <w:r>
        <w:rPr>
          <w:rFonts w:ascii="Times New Roman" w:eastAsia="Times New Roman" w:hAnsi="Times New Roman" w:cs="Times New Roman"/>
          <w:color w:val="000000"/>
          <w:spacing w:val="0"/>
          <w:w w:val="100"/>
          <w:position w:val="0"/>
          <w:shd w:val="clear" w:color="auto" w:fill="auto"/>
          <w:lang w:val="en-US" w:eastAsia="en-US" w:bidi="en-US"/>
        </w:rPr>
        <w:t xml:space="preserve"> In this article “ tale ” is used in a stricter sense, as equivalent to the German “ Volks-märchen ” or the French “ </w:t>
      </w:r>
      <w:r>
        <w:rPr>
          <w:rFonts w:ascii="Times New Roman" w:eastAsia="Times New Roman" w:hAnsi="Times New Roman" w:cs="Times New Roman"/>
          <w:color w:val="000000"/>
          <w:spacing w:val="0"/>
          <w:w w:val="100"/>
          <w:position w:val="0"/>
          <w:shd w:val="clear" w:color="auto" w:fill="auto"/>
          <w:lang w:val="fr-FR" w:eastAsia="fr-FR" w:bidi="fr-FR"/>
        </w:rPr>
        <w:t xml:space="preserve">conte populaire.” </w:t>
      </w:r>
      <w:r>
        <w:rPr>
          <w:rFonts w:ascii="Times New Roman" w:eastAsia="Times New Roman" w:hAnsi="Times New Roman" w:cs="Times New Roman"/>
          <w:color w:val="000000"/>
          <w:spacing w:val="0"/>
          <w:w w:val="100"/>
          <w:position w:val="0"/>
          <w:shd w:val="clear" w:color="auto" w:fill="auto"/>
          <w:lang w:val="en-US" w:eastAsia="en-US" w:bidi="en-US"/>
        </w:rPr>
        <w:t>Thus understood, popular tales mean the stories handed down by oral tradition from an unknown antiquity, among savage and civilized peoples. So understood, popular tales are a subject in mythology, and indeed in the general study of the develop</w:t>
        <w:softHyphen/>
        <w:t xml:space="preserve">ment of man, of which the full interest and importance was long unrecognized. Popular tales won their way into literature, it is true, at a very distant period. The Homeric epics, especially the </w:t>
      </w:r>
      <w:r>
        <w:rPr>
          <w:rFonts w:ascii="Times New Roman" w:eastAsia="Times New Roman" w:hAnsi="Times New Roman" w:cs="Times New Roman"/>
          <w:i/>
          <w:iCs/>
          <w:color w:val="000000"/>
          <w:spacing w:val="0"/>
          <w:w w:val="100"/>
          <w:position w:val="0"/>
          <w:shd w:val="clear" w:color="auto" w:fill="auto"/>
          <w:lang w:val="en-US" w:eastAsia="en-US" w:bidi="en-US"/>
        </w:rPr>
        <w:t>Odyssey,</w:t>
      </w:r>
      <w:r>
        <w:rPr>
          <w:rFonts w:ascii="Times New Roman" w:eastAsia="Times New Roman" w:hAnsi="Times New Roman" w:cs="Times New Roman"/>
          <w:color w:val="000000"/>
          <w:spacing w:val="0"/>
          <w:w w:val="100"/>
          <w:position w:val="0"/>
          <w:shd w:val="clear" w:color="auto" w:fill="auto"/>
          <w:lang w:val="en-US" w:eastAsia="en-US" w:bidi="en-US"/>
        </w:rPr>
        <w:t xml:space="preserve"> contain adventures (those, for example, of the Cyclops and the husband who returns in disguise) which are manifestly parts of the general human stock of popular narrative. Other examples are found in the </w:t>
      </w:r>
      <w:r>
        <w:rPr>
          <w:rFonts w:ascii="Times New Roman" w:eastAsia="Times New Roman" w:hAnsi="Times New Roman" w:cs="Times New Roman"/>
          <w:i/>
          <w:iCs/>
          <w:color w:val="000000"/>
          <w:spacing w:val="0"/>
          <w:w w:val="100"/>
          <w:position w:val="0"/>
          <w:shd w:val="clear" w:color="auto" w:fill="auto"/>
          <w:lang w:val="en-US" w:eastAsia="en-US" w:bidi="en-US"/>
        </w:rPr>
        <w:t>Rigpeda,</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myths which were handled by the Greek dramatists. Collections of popular tales, more or less subjected to conscious literary treatment, are found in Sanskrit, as in the work of Somadeva, whose Kath</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Sarit S</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gara,</w:t>
      </w:r>
      <w:r>
        <w:rPr>
          <w:rFonts w:ascii="Times New Roman" w:eastAsia="Times New Roman" w:hAnsi="Times New Roman" w:cs="Times New Roman"/>
          <w:color w:val="000000"/>
          <w:spacing w:val="0"/>
          <w:w w:val="100"/>
          <w:position w:val="0"/>
          <w:shd w:val="clear" w:color="auto" w:fill="auto"/>
          <w:lang w:val="en-US" w:eastAsia="en-US" w:bidi="en-US"/>
        </w:rPr>
        <w:t xml:space="preserve"> or “ Ocean of the Streams of Story,” has been translated by Mr Tawney (Calcutta, 1880). The </w:t>
      </w:r>
      <w:r>
        <w:rPr>
          <w:rFonts w:ascii="Times New Roman" w:eastAsia="Times New Roman" w:hAnsi="Times New Roman" w:cs="Times New Roman"/>
          <w:smallCaps/>
          <w:color w:val="000000"/>
          <w:spacing w:val="0"/>
          <w:w w:val="100"/>
          <w:position w:val="0"/>
          <w:shd w:val="clear" w:color="auto" w:fill="auto"/>
          <w:lang w:val="en-US" w:eastAsia="en-US" w:bidi="en-US"/>
        </w:rPr>
        <w:t>Thousand</w:t>
      </w:r>
    </w:p>
    <w:sectPr>
      <w:footnotePr>
        <w:pos w:val="pageBottom"/>
        <w:numFmt w:val="decimal"/>
        <w:numRestart w:val="continuous"/>
      </w:footnotePr>
      <w:pgSz w:w="12240" w:h="15840"/>
      <w:pgMar w:top="1107" w:left="1083" w:right="1063" w:bottom="8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