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dissolution of the monastery in 1540, he received, in com</w:t>
        <w:softHyphen/>
        <w:t xml:space="preserve">pensation for the loss of his preferment, 20s. for wages and 20s. for reward. In the library of the British Museum there is preserved a volume of MS. treatises on music, once belonging to the abbey, on the last page of which appears his autograph, “ Thomas </w:t>
      </w:r>
      <w:r>
        <w:rPr>
          <w:rFonts w:ascii="Times New Roman" w:eastAsia="Times New Roman" w:hAnsi="Times New Roman" w:cs="Times New Roman"/>
          <w:color w:val="000000"/>
          <w:spacing w:val="0"/>
          <w:w w:val="100"/>
          <w:position w:val="0"/>
          <w:shd w:val="clear" w:color="auto" w:fill="auto"/>
          <w:lang w:val="de-DE" w:eastAsia="de-DE" w:bidi="de-DE"/>
        </w:rPr>
        <w:t xml:space="preserve">Tallys </w:t>
      </w:r>
      <w:r>
        <w:rPr>
          <w:rFonts w:ascii="Times New Roman" w:eastAsia="Times New Roman" w:hAnsi="Times New Roman" w:cs="Times New Roman"/>
          <w:color w:val="000000"/>
          <w:spacing w:val="0"/>
          <w:w w:val="100"/>
          <w:position w:val="0"/>
          <w:shd w:val="clear" w:color="auto" w:fill="auto"/>
          <w:lang w:val="en-US" w:eastAsia="en-US" w:bidi="en-US"/>
        </w:rPr>
        <w:t>”—the only specimen known.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long after his dismissal from Waltham, Tallis was ap</w:t>
        <w:softHyphen/>
        <w:t>pointed a gentleman of the chapel royal; and thenceforward he laboured so zealously for the advancement of his art that the English school owes more to him than to any other composer of the 16th century.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earliest compositions by Tallis to which an approxi</w:t>
        <w:softHyphen/>
        <w:t xml:space="preserve">mate date can be assigned is the well-known </w:t>
      </w:r>
      <w:r>
        <w:rPr>
          <w:rFonts w:ascii="Times New Roman" w:eastAsia="Times New Roman" w:hAnsi="Times New Roman" w:cs="Times New Roman"/>
          <w:i/>
          <w:iCs/>
          <w:color w:val="000000"/>
          <w:spacing w:val="0"/>
          <w:w w:val="100"/>
          <w:position w:val="0"/>
          <w:shd w:val="clear" w:color="auto" w:fill="auto"/>
          <w:lang w:val="en-US" w:eastAsia="en-US" w:bidi="en-US"/>
        </w:rPr>
        <w:t>Service in the Dorian Mode,</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the </w:t>
      </w:r>
      <w:r>
        <w:rPr>
          <w:rFonts w:ascii="Times New Roman" w:eastAsia="Times New Roman" w:hAnsi="Times New Roman" w:cs="Times New Roman"/>
          <w:i/>
          <w:iCs/>
          <w:color w:val="000000"/>
          <w:spacing w:val="0"/>
          <w:w w:val="100"/>
          <w:position w:val="0"/>
          <w:shd w:val="clear" w:color="auto" w:fill="auto"/>
          <w:lang w:val="en-US" w:eastAsia="en-US" w:bidi="en-US"/>
        </w:rPr>
        <w:t>Venite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 Deum, Benedictus, Kyrie, Nicene Creed,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Sanctus,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Gloria in Excelsis, Magnificat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Nunc Dimittis,</w:t>
      </w:r>
      <w:r>
        <w:rPr>
          <w:rFonts w:ascii="Times New Roman" w:eastAsia="Times New Roman" w:hAnsi="Times New Roman" w:cs="Times New Roman"/>
          <w:color w:val="000000"/>
          <w:spacing w:val="0"/>
          <w:w w:val="100"/>
          <w:position w:val="0"/>
          <w:shd w:val="clear" w:color="auto" w:fill="auto"/>
          <w:lang w:val="en-US" w:eastAsia="en-US" w:bidi="en-US"/>
        </w:rPr>
        <w:t xml:space="preserve"> for four voices, together with the </w:t>
      </w:r>
      <w:r>
        <w:rPr>
          <w:rFonts w:ascii="Times New Roman" w:eastAsia="Times New Roman" w:hAnsi="Times New Roman" w:cs="Times New Roman"/>
          <w:i/>
          <w:iCs/>
          <w:color w:val="000000"/>
          <w:spacing w:val="0"/>
          <w:w w:val="100"/>
          <w:position w:val="0"/>
          <w:shd w:val="clear" w:color="auto" w:fill="auto"/>
          <w:lang w:val="en-US" w:eastAsia="en-US" w:bidi="en-US"/>
        </w:rPr>
        <w:t>Preces, Responses, Paternoster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Litany,</w:t>
      </w:r>
      <w:r>
        <w:rPr>
          <w:rFonts w:ascii="Times New Roman" w:eastAsia="Times New Roman" w:hAnsi="Times New Roman" w:cs="Times New Roman"/>
          <w:color w:val="000000"/>
          <w:spacing w:val="0"/>
          <w:w w:val="100"/>
          <w:position w:val="0"/>
          <w:shd w:val="clear" w:color="auto" w:fill="auto"/>
          <w:lang w:val="en-US" w:eastAsia="en-US" w:bidi="en-US"/>
        </w:rPr>
        <w:t xml:space="preserve"> for five, all published for the first time, in the Rev. John Barnard’s </w:t>
      </w:r>
      <w:r>
        <w:rPr>
          <w:rFonts w:ascii="Times New Roman" w:eastAsia="Times New Roman" w:hAnsi="Times New Roman" w:cs="Times New Roman"/>
          <w:i/>
          <w:iCs/>
          <w:color w:val="000000"/>
          <w:spacing w:val="0"/>
          <w:w w:val="100"/>
          <w:position w:val="0"/>
          <w:shd w:val="clear" w:color="auto" w:fill="auto"/>
          <w:lang w:val="en-US" w:eastAsia="en-US" w:bidi="en-US"/>
        </w:rPr>
        <w:t>First Book of Selected Church Music,</w:t>
      </w:r>
      <w:r>
        <w:rPr>
          <w:rFonts w:ascii="Times New Roman" w:eastAsia="Times New Roman" w:hAnsi="Times New Roman" w:cs="Times New Roman"/>
          <w:color w:val="000000"/>
          <w:spacing w:val="0"/>
          <w:w w:val="100"/>
          <w:position w:val="0"/>
          <w:shd w:val="clear" w:color="auto" w:fill="auto"/>
          <w:lang w:val="en-US" w:eastAsia="en-US" w:bidi="en-US"/>
        </w:rPr>
        <w:t xml:space="preserve"> in 1641, and reprinted, with the exception of the </w:t>
      </w:r>
      <w:r>
        <w:rPr>
          <w:rFonts w:ascii="Times New Roman" w:eastAsia="Times New Roman" w:hAnsi="Times New Roman" w:cs="Times New Roman"/>
          <w:i/>
          <w:iCs/>
          <w:color w:val="000000"/>
          <w:spacing w:val="0"/>
          <w:w w:val="100"/>
          <w:position w:val="0"/>
          <w:shd w:val="clear" w:color="auto" w:fill="auto"/>
          <w:lang w:val="en-US" w:eastAsia="en-US" w:bidi="en-US"/>
        </w:rPr>
        <w:t>Venite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Paternoster,</w:t>
      </w:r>
      <w:r>
        <w:rPr>
          <w:rFonts w:ascii="Times New Roman" w:eastAsia="Times New Roman" w:hAnsi="Times New Roman" w:cs="Times New Roman"/>
          <w:color w:val="000000"/>
          <w:spacing w:val="0"/>
          <w:w w:val="100"/>
          <w:position w:val="0"/>
          <w:shd w:val="clear" w:color="auto" w:fill="auto"/>
          <w:lang w:val="en-US" w:eastAsia="en-US" w:bidi="en-US"/>
        </w:rPr>
        <w:t xml:space="preserve"> in Boyce’s </w:t>
      </w:r>
      <w:r>
        <w:rPr>
          <w:rFonts w:ascii="Times New Roman" w:eastAsia="Times New Roman" w:hAnsi="Times New Roman" w:cs="Times New Roman"/>
          <w:i/>
          <w:iCs/>
          <w:color w:val="000000"/>
          <w:spacing w:val="0"/>
          <w:w w:val="100"/>
          <w:position w:val="0"/>
          <w:shd w:val="clear" w:color="auto" w:fill="auto"/>
          <w:lang w:val="en-US" w:eastAsia="en-US" w:bidi="en-US"/>
        </w:rPr>
        <w:t>Cathedral Music</w:t>
      </w:r>
      <w:r>
        <w:rPr>
          <w:rFonts w:ascii="Times New Roman" w:eastAsia="Times New Roman" w:hAnsi="Times New Roman" w:cs="Times New Roman"/>
          <w:color w:val="000000"/>
          <w:spacing w:val="0"/>
          <w:w w:val="100"/>
          <w:position w:val="0"/>
          <w:shd w:val="clear" w:color="auto" w:fill="auto"/>
          <w:lang w:val="en-US" w:eastAsia="en-US" w:bidi="en-US"/>
        </w:rPr>
        <w:t xml:space="preserve"> in 1760.@@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work was composed for the purpose of supplying a pressing need, after the publication of the second prayer-book of King Edward VI. in 1552, there can be no doubt. Written in the style known among Italian composers as </w:t>
      </w:r>
      <w:r>
        <w:rPr>
          <w:rFonts w:ascii="Times New Roman" w:eastAsia="Times New Roman" w:hAnsi="Times New Roman" w:cs="Times New Roman"/>
          <w:i/>
          <w:iCs/>
          <w:color w:val="000000"/>
          <w:spacing w:val="0"/>
          <w:w w:val="100"/>
          <w:position w:val="0"/>
          <w:shd w:val="clear" w:color="auto" w:fill="auto"/>
          <w:lang w:val="en-US" w:eastAsia="en-US" w:bidi="en-US"/>
        </w:rPr>
        <w:t>lo stile famig- liare, i.e.</w:t>
      </w:r>
      <w:r>
        <w:rPr>
          <w:rFonts w:ascii="Times New Roman" w:eastAsia="Times New Roman" w:hAnsi="Times New Roman" w:cs="Times New Roman"/>
          <w:color w:val="000000"/>
          <w:spacing w:val="0"/>
          <w:w w:val="100"/>
          <w:position w:val="0"/>
          <w:shd w:val="clear" w:color="auto" w:fill="auto"/>
          <w:lang w:val="en-US" w:eastAsia="en-US" w:bidi="en-US"/>
        </w:rPr>
        <w:t xml:space="preserve"> in simple counterpoint of the first species,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nota </w:t>
      </w:r>
      <w:r>
        <w:rPr>
          <w:rFonts w:ascii="Times New Roman" w:eastAsia="Times New Roman" w:hAnsi="Times New Roman" w:cs="Times New Roman"/>
          <w:i/>
          <w:iCs/>
          <w:color w:val="000000"/>
          <w:spacing w:val="0"/>
          <w:w w:val="100"/>
          <w:position w:val="0"/>
          <w:shd w:val="clear" w:color="auto" w:fill="auto"/>
          <w:lang w:val="en-US" w:eastAsia="en-US" w:bidi="en-US"/>
        </w:rPr>
        <w:t>contra notam,</w:t>
      </w:r>
      <w:r>
        <w:rPr>
          <w:rFonts w:ascii="Times New Roman" w:eastAsia="Times New Roman" w:hAnsi="Times New Roman" w:cs="Times New Roman"/>
          <w:color w:val="000000"/>
          <w:spacing w:val="0"/>
          <w:w w:val="100"/>
          <w:position w:val="0"/>
          <w:shd w:val="clear" w:color="auto" w:fill="auto"/>
          <w:lang w:val="en-US" w:eastAsia="en-US" w:bidi="en-US"/>
        </w:rPr>
        <w:t xml:space="preserve"> with no attempt at learned complications of any kind—it adapts itself with equal dignity and clearness to the expression of the verbal text it is intended to illustrate, bringing out the sense of the words so plainly that the listener cannot fail to interpret them aright, while its pure rich harmonies tend far more surely to the excitement of devotional feeling than the marvellous combinations by means of which too many of Tallis’s contemporaries sought to astonish their hearers, while forgetting all the loftier attributes of their art. In self-restraint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Litany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Responses</w:t>
      </w:r>
      <w:r>
        <w:rPr>
          <w:rFonts w:ascii="Times New Roman" w:eastAsia="Times New Roman" w:hAnsi="Times New Roman" w:cs="Times New Roman"/>
          <w:color w:val="000000"/>
          <w:spacing w:val="0"/>
          <w:w w:val="100"/>
          <w:position w:val="0"/>
          <w:shd w:val="clear" w:color="auto" w:fill="auto"/>
          <w:lang w:val="en-US" w:eastAsia="en-US" w:bidi="en-US"/>
        </w:rPr>
        <w:t xml:space="preserve"> bear a close analogy to the </w:t>
      </w:r>
      <w:r>
        <w:rPr>
          <w:rFonts w:ascii="Times New Roman" w:eastAsia="Times New Roman" w:hAnsi="Times New Roman" w:cs="Times New Roman"/>
          <w:i/>
          <w:iCs/>
          <w:color w:val="000000"/>
          <w:spacing w:val="0"/>
          <w:w w:val="100"/>
          <w:position w:val="0"/>
          <w:shd w:val="clear" w:color="auto" w:fill="auto"/>
          <w:lang w:val="en-US" w:eastAsia="en-US" w:bidi="en-US"/>
        </w:rPr>
        <w:t>Improperia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similar works of Palestrina, wherein, addressing himself to the heart rather than to the ear, the </w:t>
      </w:r>
      <w:r>
        <w:rPr>
          <w:rFonts w:ascii="Times New Roman" w:eastAsia="Times New Roman" w:hAnsi="Times New Roman" w:cs="Times New Roman"/>
          <w:i/>
          <w:iCs/>
          <w:color w:val="000000"/>
          <w:spacing w:val="0"/>
          <w:w w:val="100"/>
          <w:position w:val="0"/>
          <w:shd w:val="clear" w:color="auto" w:fill="auto"/>
          <w:lang w:val="en-US" w:eastAsia="en-US" w:bidi="en-US"/>
        </w:rPr>
        <w:t>princeps musicae</w:t>
      </w:r>
      <w:r>
        <w:rPr>
          <w:rFonts w:ascii="Times New Roman" w:eastAsia="Times New Roman" w:hAnsi="Times New Roman" w:cs="Times New Roman"/>
          <w:color w:val="000000"/>
          <w:spacing w:val="0"/>
          <w:w w:val="100"/>
          <w:position w:val="0"/>
          <w:shd w:val="clear" w:color="auto" w:fill="auto"/>
          <w:lang w:val="en-US" w:eastAsia="en-US" w:bidi="en-US"/>
        </w:rPr>
        <w:t xml:space="preserve"> produces the most thrilling effects by means which, to the superficial critic, appear almost puerile in their simplicity, while those who are able to look beneath the surface discern in them a subtlety of style such as none but a highly cultivated musician can appre</w:t>
        <w:softHyphen/>
        <w:t>ciate. Of this profound learning Tallis possessed an inex</w:t>
        <w:softHyphen/>
        <w:t>haustible store; and it enabled him to raise the English school to a height which it had never previously attained, and which it continued to maintain until the death of its last representative, Orlando Gibbons, in 1625. Though this school is generally said to have been founded by Dr Tye, there can be no doubt that Tallis was its greatest master, and that it was indebted to him alone for the infusion of new life and vigour which prevented it from degenerating, as some of the earlier Flemish schools had done, into a mere vehicle for the display of fruitless erudition. Tallis’s ingenuity far surpassed that of his most erudite con</w:t>
        <w:softHyphen/>
        <w:t xml:space="preserve">temporaries; and like every other great musician of the period, he produced occasionally works confessedly intended for no more exalted purpose than the exhibition of his stupendous skill. In his canon </w:t>
      </w:r>
      <w:r>
        <w:rPr>
          <w:rFonts w:ascii="Times New Roman" w:eastAsia="Times New Roman" w:hAnsi="Times New Roman" w:cs="Times New Roman"/>
          <w:i/>
          <w:iCs/>
          <w:color w:val="000000"/>
          <w:spacing w:val="0"/>
          <w:w w:val="100"/>
          <w:position w:val="0"/>
          <w:shd w:val="clear" w:color="auto" w:fill="auto"/>
          <w:lang w:val="en-US" w:eastAsia="en-US" w:bidi="en-US"/>
        </w:rPr>
        <w:t>Miserere nostri</w:t>
      </w:r>
      <w:r>
        <w:rPr>
          <w:rFonts w:ascii="Times New Roman" w:eastAsia="Times New Roman" w:hAnsi="Times New Roman" w:cs="Times New Roman"/>
          <w:color w:val="000000"/>
          <w:spacing w:val="0"/>
          <w:w w:val="100"/>
          <w:position w:val="0"/>
          <w:shd w:val="clear" w:color="auto" w:fill="auto"/>
          <w:lang w:val="en-US" w:eastAsia="en-US" w:bidi="en-US"/>
        </w:rPr>
        <w:t xml:space="preserve"> (given in Hawkins’s </w:t>
      </w:r>
      <w:r>
        <w:rPr>
          <w:rFonts w:ascii="Times New Roman" w:eastAsia="Times New Roman" w:hAnsi="Times New Roman" w:cs="Times New Roman"/>
          <w:i/>
          <w:iCs/>
          <w:color w:val="000000"/>
          <w:spacing w:val="0"/>
          <w:w w:val="100"/>
          <w:position w:val="0"/>
          <w:shd w:val="clear" w:color="auto" w:fill="auto"/>
          <w:lang w:val="en-US" w:eastAsia="en-US" w:bidi="en-US"/>
        </w:rPr>
        <w:t>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the intricacy of the contrapuntal devices seems little short of miraculous; [yet the resulting harmony is smooth and normal, and only the irregular complexity of the rhythm betrays the artificiality of its structure. The famous forty-part motet, </w:t>
      </w:r>
      <w:r>
        <w:rPr>
          <w:rFonts w:ascii="Times New Roman" w:eastAsia="Times New Roman" w:hAnsi="Times New Roman" w:cs="Times New Roman"/>
          <w:i/>
          <w:iCs/>
          <w:color w:val="000000"/>
          <w:spacing w:val="0"/>
          <w:w w:val="100"/>
          <w:position w:val="0"/>
          <w:shd w:val="clear" w:color="auto" w:fill="auto"/>
          <w:lang w:val="en-US" w:eastAsia="en-US" w:bidi="en-US"/>
        </w:rPr>
        <w:t>Spem in alium,</w:t>
      </w:r>
      <w:r>
        <w:rPr>
          <w:rFonts w:ascii="Times New Roman" w:eastAsia="Times New Roman" w:hAnsi="Times New Roman" w:cs="Times New Roman"/>
          <w:color w:val="000000"/>
          <w:spacing w:val="0"/>
          <w:w w:val="100"/>
          <w:position w:val="0"/>
          <w:shd w:val="clear" w:color="auto" w:fill="auto"/>
          <w:lang w:val="en-US" w:eastAsia="en-US" w:bidi="en-US"/>
        </w:rPr>
        <w:t xml:space="preserve"> written for eight five-part choirs, stands on a far higher plane, and the </w:t>
      </w:r>
      <w:r>
        <w:rPr>
          <w:rFonts w:ascii="Times New Roman" w:eastAsia="Times New Roman" w:hAnsi="Times New Roman" w:cs="Times New Roman"/>
          <w:i/>
          <w:iCs/>
          <w:color w:val="000000"/>
          <w:spacing w:val="0"/>
          <w:w w:val="100"/>
          <w:position w:val="0"/>
          <w:shd w:val="clear" w:color="auto" w:fill="auto"/>
          <w:lang w:val="en-US" w:eastAsia="en-US" w:bidi="en-US"/>
        </w:rPr>
        <w:t>tour de force</w:t>
      </w:r>
      <w:r>
        <w:rPr>
          <w:rFonts w:ascii="Times New Roman" w:eastAsia="Times New Roman" w:hAnsi="Times New Roman" w:cs="Times New Roman"/>
          <w:color w:val="000000"/>
          <w:spacing w:val="0"/>
          <w:w w:val="100"/>
          <w:position w:val="0"/>
          <w:shd w:val="clear" w:color="auto" w:fill="auto"/>
          <w:lang w:val="en-US" w:eastAsia="en-US" w:bidi="en-US"/>
        </w:rPr>
        <w:t xml:space="preserve"> of handling freely and smoothly so many independent parts is the least remark</w:t>
        <w:softHyphen/>
        <w:t>able of its qualities. An excellent modern edition of it was produced by Dr A. H. Mann in 1888 (London, Weekes &amp; Co.); and, when the reader has overcome the difficulty of reading a score that runs across two pages, he finds himself in the presence of a living classic. The art with which the climaxes are built up shows that Tallis’s object in writing for forty voices is indeed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produce an effect that could not be produced by thirty-nine.] These </w:t>
      </w:r>
      <w:r>
        <w:rPr>
          <w:rFonts w:ascii="Times New Roman" w:eastAsia="Times New Roman" w:hAnsi="Times New Roman" w:cs="Times New Roman"/>
          <w:i/>
          <w:iCs/>
          <w:color w:val="000000"/>
          <w:spacing w:val="0"/>
          <w:w w:val="100"/>
          <w:position w:val="0"/>
          <w:shd w:val="clear" w:color="auto" w:fill="auto"/>
          <w:lang w:val="en-US" w:eastAsia="en-US" w:bidi="en-US"/>
        </w:rPr>
        <w:t>tours de force,</w:t>
      </w:r>
      <w:r>
        <w:rPr>
          <w:rFonts w:ascii="Times New Roman" w:eastAsia="Times New Roman" w:hAnsi="Times New Roman" w:cs="Times New Roman"/>
          <w:color w:val="000000"/>
          <w:spacing w:val="0"/>
          <w:w w:val="100"/>
          <w:position w:val="0"/>
          <w:shd w:val="clear" w:color="auto" w:fill="auto"/>
          <w:lang w:val="en-US" w:eastAsia="en-US" w:bidi="en-US"/>
        </w:rPr>
        <w:t xml:space="preserve"> however, though approachable only by the greatest contrapuntists living in an age in which counterpoint was cultivated with a success that has never since been equalled, serve to illustrate one phase only of Tallis’s many-sided genius, which shines with equal brightness in the eight psalm-tunes (one in each of the first eight modes) and unpretending little </w:t>
      </w:r>
      <w:r>
        <w:rPr>
          <w:rFonts w:ascii="Times New Roman" w:eastAsia="Times New Roman" w:hAnsi="Times New Roman" w:cs="Times New Roman"/>
          <w:i/>
          <w:iCs/>
          <w:color w:val="000000"/>
          <w:spacing w:val="0"/>
          <w:w w:val="100"/>
          <w:position w:val="0"/>
          <w:shd w:val="clear" w:color="auto" w:fill="auto"/>
          <w:lang w:val="en-US" w:eastAsia="en-US" w:bidi="en-US"/>
        </w:rPr>
        <w:t>Veni Creator,</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1567 at the end of Archbishop Parker’s First </w:t>
      </w:r>
      <w:r>
        <w:rPr>
          <w:rFonts w:ascii="Times New Roman" w:eastAsia="Times New Roman" w:hAnsi="Times New Roman" w:cs="Times New Roman"/>
          <w:i/>
          <w:iCs/>
          <w:color w:val="000000"/>
          <w:spacing w:val="0"/>
          <w:w w:val="100"/>
          <w:position w:val="0"/>
          <w:shd w:val="clear" w:color="auto" w:fill="auto"/>
          <w:lang w:val="en-US" w:eastAsia="en-US" w:bidi="en-US"/>
        </w:rPr>
        <w:t>Quinquagene of Metrical Psalms,</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 compo</w:t>
        <w:softHyphen/>
        <w:t>sitions of like simplicity.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1575 Tallis and his pupil William Byrd—as great a contra</w:t>
        <w:softHyphen/>
        <w:t xml:space="preserve">puntist as himself—obtained from Queen Elizabeth royal letters patent granting them the exclusive right of printing music and ruling music-paper for twenty-one years; and, in virtue of this privilege, they issued, in the same year, a joint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Cantiones quae.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fr-FR" w:eastAsia="fr-FR" w:bidi="fr-FR"/>
        </w:rPr>
        <w:t xml:space="preserve">argumente)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Sacrae vocantur, quinque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sex </w:t>
      </w:r>
      <w:r>
        <w:rPr>
          <w:rFonts w:ascii="Times New Roman" w:eastAsia="Times New Roman" w:hAnsi="Times New Roman" w:cs="Times New Roman"/>
          <w:i/>
          <w:iCs/>
          <w:color w:val="000000"/>
          <w:spacing w:val="0"/>
          <w:w w:val="100"/>
          <w:position w:val="0"/>
          <w:shd w:val="clear" w:color="auto" w:fill="auto"/>
          <w:lang w:val="de-DE" w:eastAsia="de-DE" w:bidi="de-DE"/>
        </w:rPr>
        <w:t>partium,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containing sixteen motets by Tallis and eighteen by Byrd, all of the highest degree of excellence. Some of these motets, adapted to English words, are now sung as anthems in the Anglican cathedral service. But no such translations appear to have been made during Tallis’s lifetime; and there is strong reason for believing that, though both he and Byrd outwardly conformed to the new religion, and composed music expressly for its use, they remained Catholics at heart.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Tallis’s contributions to the </w:t>
      </w:r>
      <w:r>
        <w:rPr>
          <w:rFonts w:ascii="Times New Roman" w:eastAsia="Times New Roman" w:hAnsi="Times New Roman" w:cs="Times New Roman"/>
          <w:i/>
          <w:iCs/>
          <w:color w:val="000000"/>
          <w:spacing w:val="0"/>
          <w:w w:val="100"/>
          <w:position w:val="0"/>
          <w:shd w:val="clear" w:color="auto" w:fill="auto"/>
          <w:lang w:val="en-US" w:eastAsia="en-US" w:bidi="en-US"/>
        </w:rPr>
        <w:t>Cantiones Sacrae</w:t>
      </w:r>
      <w:r>
        <w:rPr>
          <w:rFonts w:ascii="Times New Roman" w:eastAsia="Times New Roman" w:hAnsi="Times New Roman" w:cs="Times New Roman"/>
          <w:color w:val="000000"/>
          <w:spacing w:val="0"/>
          <w:w w:val="100"/>
          <w:position w:val="0"/>
          <w:shd w:val="clear" w:color="auto" w:fill="auto"/>
          <w:lang w:val="en-US" w:eastAsia="en-US" w:bidi="en-US"/>
        </w:rPr>
        <w:t xml:space="preserve"> were the last of his compositions published during his lifetime. He did not live to witness the expiration of the patent, though Byrd survived it and published two more books of </w:t>
      </w:r>
      <w:r>
        <w:rPr>
          <w:rFonts w:ascii="Times New Roman" w:eastAsia="Times New Roman" w:hAnsi="Times New Roman" w:cs="Times New Roman"/>
          <w:i/>
          <w:iCs/>
          <w:color w:val="000000"/>
          <w:spacing w:val="0"/>
          <w:w w:val="100"/>
          <w:position w:val="0"/>
          <w:shd w:val="clear" w:color="auto" w:fill="auto"/>
          <w:lang w:val="en-US" w:eastAsia="en-US" w:bidi="en-US"/>
        </w:rPr>
        <w:t>Cantiones</w:t>
      </w:r>
      <w:r>
        <w:rPr>
          <w:rFonts w:ascii="Times New Roman" w:eastAsia="Times New Roman" w:hAnsi="Times New Roman" w:cs="Times New Roman"/>
          <w:color w:val="000000"/>
          <w:spacing w:val="0"/>
          <w:w w:val="100"/>
          <w:position w:val="0"/>
          <w:shd w:val="clear" w:color="auto" w:fill="auto"/>
          <w:lang w:val="en-US" w:eastAsia="en-US" w:bidi="en-US"/>
        </w:rPr>
        <w:t xml:space="preserve"> on his own account in 1589 and 1591, besides numerous other works. Tallis died November 23, 1585, and was buried in the parish church at Greenwich, where a quaint rhymed epitaph, preserved by Strype, and reprinted by Burney and Hawkins, recorded the fact that he served in the chapel royal during the reigns of Henry VIII., Edward VI., Mary, and Elizabeth. This was destroyed with the old church about 1710; but a copy has since been substituted. Portraits, professedly authentic, of Tallis and Byrd, were engraved by Vandergucht in 1730, for Nicolas Haym’s projected </w:t>
      </w:r>
      <w:r>
        <w:rPr>
          <w:rFonts w:ascii="Times New Roman" w:eastAsia="Times New Roman" w:hAnsi="Times New Roman" w:cs="Times New Roman"/>
          <w:i/>
          <w:iCs/>
          <w:color w:val="000000"/>
          <w:spacing w:val="0"/>
          <w:w w:val="100"/>
          <w:position w:val="0"/>
          <w:shd w:val="clear" w:color="auto" w:fill="auto"/>
          <w:lang w:val="en-US" w:eastAsia="en-US" w:bidi="en-US"/>
        </w:rPr>
        <w:t>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but never published. One copy only is known to exist.</w:t>
      </w:r>
    </w:p>
    <w:p>
      <w:pPr>
        <w:pStyle w:val="Style3"/>
        <w:keepNext w:val="0"/>
        <w:keepLines w:val="0"/>
        <w:widowControl w:val="0"/>
        <w:shd w:val="clear" w:color="auto" w:fill="auto"/>
        <w:tabs>
          <w:tab w:pos="3981"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Not many works besides those already mentioned were printed during Tallis's lifetime; but a great number are preserved in MS. It is to be feared that many more were destroyed, in the 17th century during the spoliation of the cathedral libraries by the Puritans.</w:t>
        <w:tab/>
        <w:t>(W. S. 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TALLOW </w:t>
      </w:r>
      <w:r>
        <w:rPr>
          <w:rFonts w:ascii="Times New Roman" w:eastAsia="Times New Roman" w:hAnsi="Times New Roman" w:cs="Times New Roman"/>
          <w:color w:val="000000"/>
          <w:spacing w:val="0"/>
          <w:w w:val="100"/>
          <w:position w:val="0"/>
          <w:shd w:val="clear" w:color="auto" w:fill="auto"/>
          <w:lang w:val="en-US" w:eastAsia="en-US" w:bidi="en-US"/>
        </w:rPr>
        <w:t xml:space="preserve">(M.E. </w:t>
      </w:r>
      <w:r>
        <w:rPr>
          <w:rFonts w:ascii="Times New Roman" w:eastAsia="Times New Roman" w:hAnsi="Times New Roman" w:cs="Times New Roman"/>
          <w:i/>
          <w:iCs/>
          <w:color w:val="000000"/>
          <w:spacing w:val="0"/>
          <w:w w:val="100"/>
          <w:position w:val="0"/>
          <w:shd w:val="clear" w:color="auto" w:fill="auto"/>
          <w:lang w:val="en-US" w:eastAsia="en-US" w:bidi="en-US"/>
        </w:rPr>
        <w:t>talugh, talg,</w:t>
      </w:r>
      <w:r>
        <w:rPr>
          <w:rFonts w:ascii="Times New Roman" w:eastAsia="Times New Roman" w:hAnsi="Times New Roman" w:cs="Times New Roman"/>
          <w:color w:val="000000"/>
          <w:spacing w:val="0"/>
          <w:w w:val="100"/>
          <w:position w:val="0"/>
          <w:shd w:val="clear" w:color="auto" w:fill="auto"/>
          <w:lang w:val="en-US" w:eastAsia="en-US" w:bidi="en-US"/>
        </w:rPr>
        <w:t xml:space="preserve"> cf. Du. </w:t>
      </w:r>
      <w:r>
        <w:rPr>
          <w:rFonts w:ascii="Times New Roman" w:eastAsia="Times New Roman" w:hAnsi="Times New Roman" w:cs="Times New Roman"/>
          <w:i/>
          <w:iCs/>
          <w:color w:val="000000"/>
          <w:spacing w:val="0"/>
          <w:w w:val="100"/>
          <w:position w:val="0"/>
          <w:shd w:val="clear" w:color="auto" w:fill="auto"/>
          <w:lang w:val="en-US" w:eastAsia="en-US" w:bidi="en-US"/>
        </w:rPr>
        <w:t>talk,</w:t>
      </w:r>
      <w:r>
        <w:rPr>
          <w:rFonts w:ascii="Times New Roman" w:eastAsia="Times New Roman" w:hAnsi="Times New Roman" w:cs="Times New Roman"/>
          <w:color w:val="000000"/>
          <w:spacing w:val="0"/>
          <w:w w:val="100"/>
          <w:position w:val="0"/>
          <w:shd w:val="clear" w:color="auto" w:fill="auto"/>
          <w:lang w:val="en-US" w:eastAsia="en-US" w:bidi="en-US"/>
        </w:rPr>
        <w:t xml:space="preserve"> L. Ger. </w:t>
      </w:r>
      <w:r>
        <w:rPr>
          <w:rFonts w:ascii="Times New Roman" w:eastAsia="Times New Roman" w:hAnsi="Times New Roman" w:cs="Times New Roman"/>
          <w:i/>
          <w:iCs/>
          <w:color w:val="000000"/>
          <w:spacing w:val="0"/>
          <w:w w:val="100"/>
          <w:position w:val="0"/>
          <w:shd w:val="clear" w:color="auto" w:fill="auto"/>
          <w:lang w:val="en-US" w:eastAsia="en-US" w:bidi="en-US"/>
        </w:rPr>
        <w:t>talg ;</w:t>
      </w:r>
      <w:r>
        <w:rPr>
          <w:rFonts w:ascii="Times New Roman" w:eastAsia="Times New Roman" w:hAnsi="Times New Roman" w:cs="Times New Roman"/>
          <w:color w:val="000000"/>
          <w:spacing w:val="0"/>
          <w:w w:val="100"/>
          <w:position w:val="0"/>
          <w:shd w:val="clear" w:color="auto" w:fill="auto"/>
          <w:lang w:val="en-US" w:eastAsia="en-US" w:bidi="en-US"/>
        </w:rPr>
        <w:t xml:space="preserve"> the connexion with O.E. </w:t>
      </w:r>
      <w:r>
        <w:rPr>
          <w:rFonts w:ascii="Times New Roman" w:eastAsia="Times New Roman" w:hAnsi="Times New Roman" w:cs="Times New Roman"/>
          <w:i/>
          <w:iCs/>
          <w:color w:val="000000"/>
          <w:spacing w:val="0"/>
          <w:w w:val="100"/>
          <w:position w:val="0"/>
          <w:shd w:val="clear" w:color="auto" w:fill="auto"/>
          <w:lang w:val="en-US" w:eastAsia="en-US" w:bidi="en-US"/>
        </w:rPr>
        <w:t>taelg,</w:t>
      </w:r>
      <w:r>
        <w:rPr>
          <w:rFonts w:ascii="Times New Roman" w:eastAsia="Times New Roman" w:hAnsi="Times New Roman" w:cs="Times New Roman"/>
          <w:color w:val="000000"/>
          <w:spacing w:val="0"/>
          <w:w w:val="100"/>
          <w:position w:val="0"/>
          <w:shd w:val="clear" w:color="auto" w:fill="auto"/>
          <w:lang w:val="en-US" w:eastAsia="en-US" w:bidi="en-US"/>
        </w:rPr>
        <w:t xml:space="preserve"> dye, or Goth, </w:t>
      </w:r>
      <w:r>
        <w:rPr>
          <w:rFonts w:ascii="Times New Roman" w:eastAsia="Times New Roman" w:hAnsi="Times New Roman" w:cs="Times New Roman"/>
          <w:i/>
          <w:iCs/>
          <w:color w:val="000000"/>
          <w:spacing w:val="0"/>
          <w:w w:val="100"/>
          <w:position w:val="0"/>
          <w:shd w:val="clear" w:color="auto" w:fill="auto"/>
          <w:lang w:val="en-US" w:eastAsia="en-US" w:bidi="en-US"/>
        </w:rPr>
        <w:t>tulgus,</w:t>
      </w:r>
      <w:r>
        <w:rPr>
          <w:rFonts w:ascii="Times New Roman" w:eastAsia="Times New Roman" w:hAnsi="Times New Roman" w:cs="Times New Roman"/>
          <w:color w:val="000000"/>
          <w:spacing w:val="0"/>
          <w:w w:val="100"/>
          <w:position w:val="0"/>
          <w:shd w:val="clear" w:color="auto" w:fill="auto"/>
          <w:lang w:val="en-US" w:eastAsia="en-US" w:bidi="en-US"/>
        </w:rPr>
        <w:t xml:space="preserve"> firm, is doubt</w:t>
        <w:softHyphen/>
        <w:t xml:space="preserve">ful), the solid oil or fat of ruminant animals, but commercially obtained almost exclusively from oxen and sheep. The various methods by which tallow and other animal fats are separated and purified are dealt with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Oils. Ox</w:t>
      </w:r>
      <w:r>
        <w:rPr>
          <w:rFonts w:ascii="Times New Roman" w:eastAsia="Times New Roman" w:hAnsi="Times New Roman" w:cs="Times New Roman"/>
          <w:color w:val="000000"/>
          <w:spacing w:val="0"/>
          <w:w w:val="100"/>
          <w:position w:val="0"/>
          <w:shd w:val="clear" w:color="auto" w:fill="auto"/>
          <w:lang w:val="en-US" w:eastAsia="en-US" w:bidi="en-US"/>
        </w:rPr>
        <w:t xml:space="preserve"> tallow occurs at ordinary temperatures as a solid hard fat having a yellowish white colour. The fat is insoluble in cold alcohol, but it dissolves in boiling alcohol, in chloroform, ether and the essential oils. The hardness of tallow and its melting-point are to some extent affected by the food, age, state of health, &amp;c., of the animal yielding it, the firmest ox tallow being obtained in certain provinces of Russia, where for a great part of the year the oxen arc fed on hay. New tallow melts at from 42∙5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43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old tallow at 43∙5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the melted fat remains liquid till its temperature falls to 33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34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Tallow consists of a mixture of two-thirds of the solid fats palmitin and stearin, with one-third of the liquid fat olein.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Mutton tallow differs in several respects from that obtained from oxen. It is whiter in colour and harder, and contains only about 30 per cent of olein. Newly rendered it has little taste or smell, but on exposure it quickly becomes rancid. Sweet mutton tallow melts at 46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solidifies at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when old it does not melt under 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becomes solid on reaching 44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45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It is sparingly soluble in cold ether and in boiling alcohol.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TALLOW TREE,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the popular name of a small tree, </w:t>
      </w:r>
      <w:r>
        <w:rPr>
          <w:rFonts w:ascii="Times New Roman" w:eastAsia="Times New Roman" w:hAnsi="Times New Roman" w:cs="Times New Roman"/>
          <w:i/>
          <w:iCs/>
          <w:color w:val="000000"/>
          <w:spacing w:val="0"/>
          <w:w w:val="100"/>
          <w:position w:val="0"/>
          <w:shd w:val="clear" w:color="auto" w:fill="auto"/>
          <w:lang w:val="en-US" w:eastAsia="en-US" w:bidi="en-US"/>
        </w:rPr>
        <w:t>Stillingia sebifera,</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family Euphorbiaceae, a native of China, but cultivated in India and other warm countries. The seeds are thickly coated with a white greasy</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oyce’s unaccountable omission of the very beautiful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Venite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 misfortune which cannot be too deeply deplored, since it has led to its consignment to almost hopeless oblivion.</w:t>
      </w:r>
    </w:p>
    <w:p>
      <w:pPr>
        <w:widowControl w:val="0"/>
        <w:spacing w:line="1" w:lineRule="exact"/>
      </w:pPr>
    </w:p>
    <w:sectPr>
      <w:footnotePr>
        <w:pos w:val="pageBottom"/>
        <w:numFmt w:val="decimal"/>
        <w:numRestart w:val="continuous"/>
      </w:footnotePr>
      <w:type w:val="continuous"/>
      <w:pgSz w:w="12240" w:h="15840"/>
      <w:pgMar w:top="1261" w:left="1145" w:right="978" w:bottom="7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