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Theatre </w:t>
      </w:r>
      <w:r>
        <w:rPr>
          <w:rFonts w:ascii="Times New Roman" w:eastAsia="Times New Roman" w:hAnsi="Times New Roman" w:cs="Times New Roman"/>
          <w:color w:val="000000"/>
          <w:spacing w:val="0"/>
          <w:w w:val="100"/>
          <w:position w:val="0"/>
          <w:shd w:val="clear" w:color="auto" w:fill="auto"/>
          <w:lang w:val="fr-FR" w:eastAsia="fr-FR" w:bidi="fr-FR"/>
        </w:rPr>
        <w:t xml:space="preserve">de la République, </w:t>
      </w:r>
      <w:r>
        <w:rPr>
          <w:rFonts w:ascii="Times New Roman" w:eastAsia="Times New Roman" w:hAnsi="Times New Roman" w:cs="Times New Roman"/>
          <w:color w:val="000000"/>
          <w:spacing w:val="0"/>
          <w:w w:val="100"/>
          <w:position w:val="0"/>
          <w:shd w:val="clear" w:color="auto" w:fill="auto"/>
          <w:lang w:val="en-US" w:eastAsia="en-US" w:bidi="en-US"/>
        </w:rPr>
        <w:t xml:space="preserve">on the site of the present </w:t>
      </w:r>
      <w:r>
        <w:rPr>
          <w:rFonts w:ascii="Times New Roman" w:eastAsia="Times New Roman" w:hAnsi="Times New Roman" w:cs="Times New Roman"/>
          <w:color w:val="000000"/>
          <w:spacing w:val="0"/>
          <w:w w:val="100"/>
          <w:position w:val="0"/>
          <w:shd w:val="clear" w:color="auto" w:fill="auto"/>
          <w:lang w:val="fr-FR" w:eastAsia="fr-FR" w:bidi="fr-FR"/>
        </w:rPr>
        <w:t xml:space="preserve">Théâtre Français. </w:t>
      </w:r>
      <w:r>
        <w:rPr>
          <w:rFonts w:ascii="Times New Roman" w:eastAsia="Times New Roman" w:hAnsi="Times New Roman" w:cs="Times New Roman"/>
          <w:color w:val="000000"/>
          <w:spacing w:val="0"/>
          <w:w w:val="100"/>
          <w:position w:val="0"/>
          <w:shd w:val="clear" w:color="auto" w:fill="auto"/>
          <w:lang w:val="en-US" w:eastAsia="en-US" w:bidi="en-US"/>
        </w:rPr>
        <w:t>Here he won his greatest triumphs. Further development in costume and make-up was shown in his stage portrait of Jean Jacques Rousseau (1790), pronounced a wonder</w:t>
        <w:softHyphen/>
        <w:t xml:space="preserve">ful likeness 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journaliste </w:t>
      </w:r>
      <w:r>
        <w:rPr>
          <w:rFonts w:ascii="Times New Roman" w:eastAsia="Times New Roman" w:hAnsi="Times New Roman" w:cs="Times New Roman"/>
          <w:i/>
          <w:iCs/>
          <w:color w:val="000000"/>
          <w:spacing w:val="0"/>
          <w:w w:val="100"/>
          <w:position w:val="0"/>
          <w:shd w:val="clear" w:color="auto" w:fill="auto"/>
          <w:lang w:val="en-US" w:eastAsia="en-US" w:bidi="en-US"/>
        </w:rPr>
        <w:t>des ombres.</w:t>
      </w:r>
      <w:r>
        <w:rPr>
          <w:rFonts w:ascii="Times New Roman" w:eastAsia="Times New Roman" w:hAnsi="Times New Roman" w:cs="Times New Roman"/>
          <w:color w:val="000000"/>
          <w:spacing w:val="0"/>
          <w:w w:val="100"/>
          <w:position w:val="0"/>
          <w:shd w:val="clear" w:color="auto" w:fill="auto"/>
          <w:lang w:val="en-US" w:eastAsia="en-US" w:bidi="en-US"/>
        </w:rPr>
        <w:t xml:space="preserve"> In 1801 he divorced his wife, and in 1802 married Charlotte Vanhove, an actress of the </w:t>
      </w:r>
      <w:r>
        <w:rPr>
          <w:rFonts w:ascii="Times New Roman" w:eastAsia="Times New Roman" w:hAnsi="Times New Roman" w:cs="Times New Roman"/>
          <w:color w:val="000000"/>
          <w:spacing w:val="0"/>
          <w:w w:val="100"/>
          <w:position w:val="0"/>
          <w:shd w:val="clear" w:color="auto" w:fill="auto"/>
          <w:lang w:val="fr-FR" w:eastAsia="fr-FR" w:bidi="fr-FR"/>
        </w:rPr>
        <w:t xml:space="preserve">Comédie Française. </w:t>
      </w:r>
      <w:r>
        <w:rPr>
          <w:rFonts w:ascii="Times New Roman" w:eastAsia="Times New Roman" w:hAnsi="Times New Roman" w:cs="Times New Roman"/>
          <w:color w:val="000000"/>
          <w:spacing w:val="0"/>
          <w:w w:val="100"/>
          <w:position w:val="0"/>
          <w:shd w:val="clear" w:color="auto" w:fill="auto"/>
          <w:lang w:val="en-US" w:eastAsia="en-US" w:bidi="en-US"/>
        </w:rPr>
        <w:t>He made his last appearance on the 11th of June 1826 as Charles VI. in Delaville’s tragedy, and he died in Paris on the 19th of October of that year.</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Talma was the author 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Mémoires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Lekain, </w:t>
      </w:r>
      <w:r>
        <w:rPr>
          <w:rFonts w:ascii="Times New Roman" w:eastAsia="Times New Roman" w:hAnsi="Times New Roman" w:cs="Times New Roman"/>
          <w:i/>
          <w:iCs/>
          <w:color w:val="000000"/>
          <w:spacing w:val="0"/>
          <w:w w:val="100"/>
          <w:position w:val="0"/>
          <w:shd w:val="clear" w:color="auto" w:fill="auto"/>
          <w:lang w:val="fr-FR" w:eastAsia="fr-FR" w:bidi="fr-FR"/>
        </w:rPr>
        <w:t>précédés de réflexions sur cet acteur et sur l'art théâtral,</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contributed to the </w:t>
      </w:r>
      <w:r>
        <w:rPr>
          <w:rFonts w:ascii="Times New Roman" w:eastAsia="Times New Roman" w:hAnsi="Times New Roman" w:cs="Times New Roman"/>
          <w:i/>
          <w:iCs/>
          <w:color w:val="000000"/>
          <w:spacing w:val="0"/>
          <w:w w:val="100"/>
          <w:position w:val="0"/>
          <w:shd w:val="clear" w:color="auto" w:fill="auto"/>
          <w:lang w:val="fr-FR" w:eastAsia="fr-FR" w:bidi="fr-FR"/>
        </w:rPr>
        <w:t>Collection des mémoires sur l’art dramatique,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published separately (1856)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as </w:t>
      </w:r>
      <w:r>
        <w:rPr>
          <w:rFonts w:ascii="Times New Roman" w:eastAsia="Times New Roman" w:hAnsi="Times New Roman" w:cs="Times New Roman"/>
          <w:i/>
          <w:iCs/>
          <w:color w:val="000000"/>
          <w:spacing w:val="0"/>
          <w:w w:val="100"/>
          <w:position w:val="0"/>
          <w:shd w:val="clear" w:color="auto" w:fill="auto"/>
          <w:lang w:val="fr-FR" w:eastAsia="fr-FR" w:bidi="fr-FR"/>
        </w:rPr>
        <w:t xml:space="preserve">Réflexions 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Talma </w:t>
      </w:r>
      <w:r>
        <w:rPr>
          <w:rFonts w:ascii="Times New Roman" w:eastAsia="Times New Roman" w:hAnsi="Times New Roman" w:cs="Times New Roman"/>
          <w:i/>
          <w:iCs/>
          <w:color w:val="000000"/>
          <w:spacing w:val="0"/>
          <w:w w:val="100"/>
          <w:position w:val="0"/>
          <w:shd w:val="clear" w:color="auto" w:fill="auto"/>
          <w:lang w:val="fr-FR" w:eastAsia="fr-FR" w:bidi="fr-FR"/>
        </w:rPr>
        <w:t>sur Lekain et l'art théâtral.</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Mémoires de F. J.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Tatma,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écrits par lui-même, et recueillis et mis en ordre sur les papiers de sa famille,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Alex. Dumas </w:t>
      </w:r>
      <w:r>
        <w:rPr>
          <w:rFonts w:ascii="Times New Roman" w:eastAsia="Times New Roman" w:hAnsi="Times New Roman" w:cs="Times New Roman"/>
          <w:color w:val="000000"/>
          <w:spacing w:val="0"/>
          <w:w w:val="100"/>
          <w:position w:val="0"/>
          <w:sz w:val="17"/>
          <w:szCs w:val="17"/>
          <w:shd w:val="clear" w:color="auto" w:fill="auto"/>
          <w:lang w:val="en-US" w:eastAsia="en-US" w:bidi="en-US"/>
        </w:rPr>
        <w:t>(1850).</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TALMAGE, </w:t>
      </w: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THOMAS DE WITT </w:t>
      </w:r>
      <w:r>
        <w:rPr>
          <w:rFonts w:ascii="Times New Roman" w:eastAsia="Times New Roman" w:hAnsi="Times New Roman" w:cs="Times New Roman"/>
          <w:color w:val="000000"/>
          <w:spacing w:val="0"/>
          <w:w w:val="100"/>
          <w:position w:val="0"/>
          <w:shd w:val="clear" w:color="auto" w:fill="auto"/>
          <w:lang w:val="en-US" w:eastAsia="en-US" w:bidi="en-US"/>
        </w:rPr>
        <w:t>(1832-1902), American Presbyterian preacher, born at Bound Brook, New Jersey, on the 7th of January 1832. He was educated at the University of the City of New York (now New York University) and at the Reformed Dutch Theological Seminary at New Brunswick, N.J., from which he was graduated in 1856. Immediately after</w:t>
        <w:softHyphen/>
        <w:t xml:space="preserve">wards he became pastor of a Reformed church at Belleville, N.J. In 1859 he removed to Syracuse, N.Y.; in 1862 to Philadelphia, where he was pastor of the Second Reformed Dutch Church; and in 1869 to the Central Presbyterian Church in Brooklyn, where a large building known as the Tabernacle was erected for him in 1870. In 1872 this building was burned down. A larger one, holding 5000 persons, was built for him in 1873, but even this could not contain the crowds attracted by his eloquence and sensationalism. In 1889 this church also was burned to the ground, only to be succeeded by another and larger one, which in its turn was burned in 1894. Shortly afterwards he removed to Washington, where from 1895 to 1899 he was the associate pastor, with Dr Byron Sunderland (d. 1901), of the First Presbyterian Church. During the last years of his life Dr Talmage ceased to preach, and devoted himself to editing, writing and lecturing. At different periods he was editor of the </w:t>
      </w:r>
      <w:r>
        <w:rPr>
          <w:rFonts w:ascii="Times New Roman" w:eastAsia="Times New Roman" w:hAnsi="Times New Roman" w:cs="Times New Roman"/>
          <w:i/>
          <w:iCs/>
          <w:color w:val="000000"/>
          <w:spacing w:val="0"/>
          <w:w w:val="100"/>
          <w:position w:val="0"/>
          <w:shd w:val="clear" w:color="auto" w:fill="auto"/>
          <w:lang w:val="en-US" w:eastAsia="en-US" w:bidi="en-US"/>
        </w:rPr>
        <w:t>Christian at Work</w:t>
      </w:r>
      <w:r>
        <w:rPr>
          <w:rFonts w:ascii="Times New Roman" w:eastAsia="Times New Roman" w:hAnsi="Times New Roman" w:cs="Times New Roman"/>
          <w:color w:val="000000"/>
          <w:spacing w:val="0"/>
          <w:w w:val="100"/>
          <w:position w:val="0"/>
          <w:shd w:val="clear" w:color="auto" w:fill="auto"/>
          <w:lang w:val="en-US" w:eastAsia="en-US" w:bidi="en-US"/>
        </w:rPr>
        <w:t xml:space="preserve"> (1873-76), New York;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Advance </w:t>
      </w:r>
      <w:r>
        <w:rPr>
          <w:rFonts w:ascii="Times New Roman" w:eastAsia="Times New Roman" w:hAnsi="Times New Roman" w:cs="Times New Roman"/>
          <w:color w:val="000000"/>
          <w:spacing w:val="0"/>
          <w:w w:val="100"/>
          <w:position w:val="0"/>
          <w:shd w:val="clear" w:color="auto" w:fill="auto"/>
          <w:lang w:val="en-US" w:eastAsia="en-US" w:bidi="en-US"/>
        </w:rPr>
        <w:t xml:space="preserve">(1877-79), Chicago; </w:t>
      </w:r>
      <w:r>
        <w:rPr>
          <w:rFonts w:ascii="Times New Roman" w:eastAsia="Times New Roman" w:hAnsi="Times New Roman" w:cs="Times New Roman"/>
          <w:i/>
          <w:iCs/>
          <w:color w:val="000000"/>
          <w:spacing w:val="0"/>
          <w:w w:val="100"/>
          <w:position w:val="0"/>
          <w:shd w:val="clear" w:color="auto" w:fill="auto"/>
          <w:lang w:val="en-US" w:eastAsia="en-US" w:bidi="en-US"/>
        </w:rPr>
        <w:t>Frank Leslie’s Sunday Magazine</w:t>
      </w:r>
      <w:r>
        <w:rPr>
          <w:rFonts w:ascii="Times New Roman" w:eastAsia="Times New Roman" w:hAnsi="Times New Roman" w:cs="Times New Roman"/>
          <w:color w:val="000000"/>
          <w:spacing w:val="0"/>
          <w:w w:val="100"/>
          <w:position w:val="0"/>
          <w:shd w:val="clear" w:color="auto" w:fill="auto"/>
          <w:lang w:val="en-US" w:eastAsia="en-US" w:bidi="en-US"/>
        </w:rPr>
        <w:t xml:space="preserve"> (1879-89), New York; and the </w:t>
      </w:r>
      <w:r>
        <w:rPr>
          <w:rFonts w:ascii="Times New Roman" w:eastAsia="Times New Roman" w:hAnsi="Times New Roman" w:cs="Times New Roman"/>
          <w:i/>
          <w:iCs/>
          <w:color w:val="000000"/>
          <w:spacing w:val="0"/>
          <w:w w:val="100"/>
          <w:position w:val="0"/>
          <w:shd w:val="clear" w:color="auto" w:fill="auto"/>
          <w:lang w:val="en-US" w:eastAsia="en-US" w:bidi="en-US"/>
        </w:rPr>
        <w:t>Christian Herald</w:t>
      </w:r>
      <w:r>
        <w:rPr>
          <w:rFonts w:ascii="Times New Roman" w:eastAsia="Times New Roman" w:hAnsi="Times New Roman" w:cs="Times New Roman"/>
          <w:color w:val="000000"/>
          <w:spacing w:val="0"/>
          <w:w w:val="100"/>
          <w:position w:val="0"/>
          <w:shd w:val="clear" w:color="auto" w:fill="auto"/>
          <w:lang w:val="en-US" w:eastAsia="en-US" w:bidi="en-US"/>
        </w:rPr>
        <w:t xml:space="preserve"> (1890-1902), New York. For years his sermons were published regularly in more than 3000 journals, reaching, it is said, 25,000,000 readers. His books also have had large circulations; among them are </w:t>
      </w:r>
      <w:r>
        <w:rPr>
          <w:rFonts w:ascii="Times New Roman" w:eastAsia="Times New Roman" w:hAnsi="Times New Roman" w:cs="Times New Roman"/>
          <w:i/>
          <w:iCs/>
          <w:color w:val="000000"/>
          <w:spacing w:val="0"/>
          <w:w w:val="100"/>
          <w:position w:val="0"/>
          <w:shd w:val="clear" w:color="auto" w:fill="auto"/>
          <w:lang w:val="en-US" w:eastAsia="en-US" w:bidi="en-US"/>
        </w:rPr>
        <w:t>The Almond Tree in Blossom</w:t>
      </w:r>
      <w:r>
        <w:rPr>
          <w:rFonts w:ascii="Times New Roman" w:eastAsia="Times New Roman" w:hAnsi="Times New Roman" w:cs="Times New Roman"/>
          <w:color w:val="000000"/>
          <w:spacing w:val="0"/>
          <w:w w:val="100"/>
          <w:position w:val="0"/>
          <w:shd w:val="clear" w:color="auto" w:fill="auto"/>
          <w:lang w:val="en-US" w:eastAsia="en-US" w:bidi="en-US"/>
        </w:rPr>
        <w:t xml:space="preserve"> (1870); </w:t>
      </w:r>
      <w:r>
        <w:rPr>
          <w:rFonts w:ascii="Times New Roman" w:eastAsia="Times New Roman" w:hAnsi="Times New Roman" w:cs="Times New Roman"/>
          <w:i/>
          <w:iCs/>
          <w:color w:val="000000"/>
          <w:spacing w:val="0"/>
          <w:w w:val="100"/>
          <w:position w:val="0"/>
          <w:shd w:val="clear" w:color="auto" w:fill="auto"/>
          <w:lang w:val="en-US" w:eastAsia="en-US" w:bidi="en-US"/>
        </w:rPr>
        <w:t>Every Day Religion</w:t>
      </w:r>
      <w:r>
        <w:rPr>
          <w:rFonts w:ascii="Times New Roman" w:eastAsia="Times New Roman" w:hAnsi="Times New Roman" w:cs="Times New Roman"/>
          <w:color w:val="000000"/>
          <w:spacing w:val="0"/>
          <w:w w:val="100"/>
          <w:position w:val="0"/>
          <w:shd w:val="clear" w:color="auto" w:fill="auto"/>
          <w:lang w:val="en-US" w:eastAsia="en-US" w:bidi="en-US"/>
        </w:rPr>
        <w:t xml:space="preserve"> (1875); </w:t>
      </w:r>
      <w:r>
        <w:rPr>
          <w:rFonts w:ascii="Times New Roman" w:eastAsia="Times New Roman" w:hAnsi="Times New Roman" w:cs="Times New Roman"/>
          <w:i/>
          <w:iCs/>
          <w:color w:val="000000"/>
          <w:spacing w:val="0"/>
          <w:w w:val="100"/>
          <w:position w:val="0"/>
          <w:shd w:val="clear" w:color="auto" w:fill="auto"/>
          <w:lang w:val="en-US" w:eastAsia="en-US" w:bidi="en-US"/>
        </w:rPr>
        <w:t>The Brooklyn Tabernacle</w:t>
      </w:r>
      <w:r>
        <w:rPr>
          <w:rFonts w:ascii="Times New Roman" w:eastAsia="Times New Roman" w:hAnsi="Times New Roman" w:cs="Times New Roman"/>
          <w:color w:val="000000"/>
          <w:spacing w:val="0"/>
          <w:w w:val="100"/>
          <w:position w:val="0"/>
          <w:shd w:val="clear" w:color="auto" w:fill="auto"/>
          <w:lang w:val="en-US" w:eastAsia="en-US" w:bidi="en-US"/>
        </w:rPr>
        <w:t xml:space="preserve"> (1884); </w:t>
      </w:r>
      <w:r>
        <w:rPr>
          <w:rFonts w:ascii="Times New Roman" w:eastAsia="Times New Roman" w:hAnsi="Times New Roman" w:cs="Times New Roman"/>
          <w:i/>
          <w:iCs/>
          <w:color w:val="000000"/>
          <w:spacing w:val="0"/>
          <w:w w:val="100"/>
          <w:position w:val="0"/>
          <w:shd w:val="clear" w:color="auto" w:fill="auto"/>
          <w:lang w:val="en-US" w:eastAsia="en-US" w:bidi="en-US"/>
        </w:rPr>
        <w:t>From Manger to Throne</w:t>
      </w:r>
      <w:r>
        <w:rPr>
          <w:rFonts w:ascii="Times New Roman" w:eastAsia="Times New Roman" w:hAnsi="Times New Roman" w:cs="Times New Roman"/>
          <w:color w:val="000000"/>
          <w:spacing w:val="0"/>
          <w:w w:val="100"/>
          <w:position w:val="0"/>
          <w:shd w:val="clear" w:color="auto" w:fill="auto"/>
          <w:lang w:val="en-US" w:eastAsia="en-US" w:bidi="en-US"/>
        </w:rPr>
        <w:t xml:space="preserve"> (1895); and </w:t>
      </w:r>
      <w:r>
        <w:rPr>
          <w:rFonts w:ascii="Times New Roman" w:eastAsia="Times New Roman" w:hAnsi="Times New Roman" w:cs="Times New Roman"/>
          <w:i/>
          <w:iCs/>
          <w:color w:val="000000"/>
          <w:spacing w:val="0"/>
          <w:w w:val="100"/>
          <w:position w:val="0"/>
          <w:shd w:val="clear" w:color="auto" w:fill="auto"/>
          <w:lang w:val="en-US" w:eastAsia="en-US" w:bidi="en-US"/>
        </w:rPr>
        <w:t>The Pathway of Life</w:t>
      </w:r>
      <w:r>
        <w:rPr>
          <w:rFonts w:ascii="Times New Roman" w:eastAsia="Times New Roman" w:hAnsi="Times New Roman" w:cs="Times New Roman"/>
          <w:color w:val="000000"/>
          <w:spacing w:val="0"/>
          <w:w w:val="100"/>
          <w:position w:val="0"/>
          <w:shd w:val="clear" w:color="auto" w:fill="auto"/>
          <w:lang w:val="en-US" w:eastAsia="en-US" w:bidi="en-US"/>
        </w:rPr>
        <w:t xml:space="preserve"> (1895). His eloquence, while sensa</w:t>
        <w:softHyphen/>
        <w:t>tional, was real and striking, and his fluency and the picturesque</w:t>
        <w:softHyphen/>
        <w:t>ness of his language and imagery were remarkable. He died at Washington on the 12th of April 1902.</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TALMUD, </w:t>
      </w:r>
      <w:r>
        <w:rPr>
          <w:rFonts w:ascii="Times New Roman" w:eastAsia="Times New Roman" w:hAnsi="Times New Roman" w:cs="Times New Roman"/>
          <w:color w:val="000000"/>
          <w:spacing w:val="0"/>
          <w:w w:val="100"/>
          <w:position w:val="0"/>
          <w:shd w:val="clear" w:color="auto" w:fill="auto"/>
          <w:lang w:val="en-US" w:eastAsia="en-US" w:bidi="en-US"/>
        </w:rPr>
        <w:t>the great Rabbinical thesaurus which grew up during the first four or six centuries of the Christian Era, and, with the Old Testament, became the “ Bible ” of the Jews, and the chief subject of their subsequent literary activity.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Contents.—</w:t>
      </w:r>
      <w:r>
        <w:rPr>
          <w:rFonts w:ascii="Times New Roman" w:eastAsia="Times New Roman" w:hAnsi="Times New Roman" w:cs="Times New Roman"/>
          <w:color w:val="000000"/>
          <w:spacing w:val="0"/>
          <w:w w:val="100"/>
          <w:position w:val="0"/>
          <w:shd w:val="clear" w:color="auto" w:fill="auto"/>
          <w:lang w:val="en-US" w:eastAsia="en-US" w:bidi="en-US"/>
        </w:rPr>
        <w:t xml:space="preserve">The Talmud (Hebrew “ teaching, learning ”) consists of the </w:t>
      </w:r>
      <w:r>
        <w:rPr>
          <w:rFonts w:ascii="Times New Roman" w:eastAsia="Times New Roman" w:hAnsi="Times New Roman" w:cs="Times New Roman"/>
          <w:i/>
          <w:iCs/>
          <w:color w:val="000000"/>
          <w:spacing w:val="0"/>
          <w:w w:val="100"/>
          <w:position w:val="0"/>
          <w:shd w:val="clear" w:color="auto" w:fill="auto"/>
          <w:lang w:val="en-US" w:eastAsia="en-US" w:bidi="en-US"/>
        </w:rPr>
        <w:t>Mishnãh</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(Heb. </w:t>
      </w:r>
      <w:r>
        <w:rPr>
          <w:rFonts w:ascii="Times New Roman" w:eastAsia="Times New Roman" w:hAnsi="Times New Roman" w:cs="Times New Roman"/>
          <w:color w:val="000000"/>
          <w:spacing w:val="0"/>
          <w:w w:val="100"/>
          <w:position w:val="0"/>
          <w:shd w:val="clear" w:color="auto" w:fill="auto"/>
          <w:lang w:val="en-US" w:eastAsia="en-US" w:bidi="en-US"/>
        </w:rPr>
        <w:t xml:space="preserve">“ [oral] repetition, teaching ”), a systematic collection of religious-legal decisions developing the laws of the Old Testament, and the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i/>
          <w:iCs/>
          <w:color w:val="000000"/>
          <w:spacing w:val="0"/>
          <w:w w:val="100"/>
          <w:position w:val="0"/>
          <w:shd w:val="clear" w:color="auto" w:fill="auto"/>
          <w:lang w:val="en-US" w:eastAsia="en-US" w:bidi="en-US"/>
        </w:rPr>
        <w:t>ĕ</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(Aramaic “ completion, decision,” or perhaps also “ teaching ”), supple</w:t>
        <w:softHyphen/>
        <w:t xml:space="preserve">mentary material, legal and otherwise.@@The whole was in two great recensions, Palestinian and Babylonian. Other material related to the Mishnãh is preserved in the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ō</w:t>
      </w:r>
      <w:r>
        <w:rPr>
          <w:rFonts w:ascii="Times New Roman" w:eastAsia="Times New Roman" w:hAnsi="Times New Roman" w:cs="Times New Roman"/>
          <w:i/>
          <w:iCs/>
          <w:color w:val="000000"/>
          <w:spacing w:val="0"/>
          <w:w w:val="100"/>
          <w:position w:val="0"/>
          <w:shd w:val="clear" w:color="auto" w:fill="auto"/>
          <w:lang w:val="en-US" w:eastAsia="en-US" w:bidi="en-US"/>
        </w:rPr>
        <w:t>sepht</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(Aram. “addition”) and the </w:t>
      </w:r>
      <w:r>
        <w:rPr>
          <w:rFonts w:ascii="Times New Roman" w:eastAsia="Times New Roman" w:hAnsi="Times New Roman" w:cs="Times New Roman"/>
          <w:i/>
          <w:iCs/>
          <w:color w:val="000000"/>
          <w:spacing w:val="0"/>
          <w:w w:val="100"/>
          <w:position w:val="0"/>
          <w:shd w:val="clear" w:color="auto" w:fill="auto"/>
          <w:lang w:val="en-US" w:eastAsia="en-US" w:bidi="en-US"/>
        </w:rPr>
        <w:t>Midr</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sh</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since all these, together with the </w:t>
      </w:r>
      <w:r>
        <w:rPr>
          <w:rFonts w:ascii="Times New Roman" w:eastAsia="Times New Roman" w:hAnsi="Times New Roman" w:cs="Times New Roman"/>
          <w:i/>
          <w:iCs/>
          <w:color w:val="000000"/>
          <w:spacing w:val="0"/>
          <w:w w:val="100"/>
          <w:position w:val="0"/>
          <w:shd w:val="clear" w:color="auto" w:fill="auto"/>
          <w:lang w:val="en-US" w:eastAsia="en-US" w:bidi="en-US"/>
        </w:rPr>
        <w:t>Targ</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represent the orthodox Rabbinical literature connecting the Old Testament with medieval and </w:t>
      </w:r>
      <w:r>
        <w:rPr>
          <w:rFonts w:ascii="Times New Roman" w:eastAsia="Times New Roman" w:hAnsi="Times New Roman" w:cs="Times New Roman"/>
          <w:color w:val="000000"/>
          <w:spacing w:val="0"/>
          <w:w w:val="100"/>
          <w:position w:val="0"/>
          <w:shd w:val="clear" w:color="auto" w:fill="auto"/>
          <w:lang w:val="fr-FR" w:eastAsia="fr-FR" w:bidi="fr-FR"/>
        </w:rPr>
        <w:t>modern</w:t>
      </w:r>
      <w:r>
        <w:rPr>
          <w:rFonts w:ascii="Times New Roman" w:eastAsia="Times New Roman" w:hAnsi="Times New Roman" w:cs="Times New Roman"/>
          <w:color w:val="000000"/>
          <w:spacing w:val="0"/>
          <w:w w:val="100"/>
          <w:position w:val="0"/>
          <w:shd w:val="clear" w:color="auto" w:fill="auto"/>
          <w:lang w:val="en-US" w:eastAsia="en-US" w:bidi="en-US"/>
        </w:rPr>
        <w:t xml:space="preserve"> Judaism, the reader should also consult the articles </w:t>
      </w:r>
      <w:r>
        <w:rPr>
          <w:rFonts w:ascii="Times New Roman" w:eastAsia="Times New Roman" w:hAnsi="Times New Roman" w:cs="Times New Roman"/>
          <w:smallCaps/>
          <w:color w:val="000000"/>
          <w:spacing w:val="0"/>
          <w:w w:val="100"/>
          <w:position w:val="0"/>
          <w:shd w:val="clear" w:color="auto" w:fill="auto"/>
          <w:lang w:val="en-US" w:eastAsia="en-US" w:bidi="en-US"/>
        </w:rPr>
        <w:t>Jews</w:t>
      </w:r>
      <w:r>
        <w:rPr>
          <w:rFonts w:ascii="Times New Roman" w:eastAsia="Times New Roman" w:hAnsi="Times New Roman" w:cs="Times New Roman"/>
          <w:color w:val="000000"/>
          <w:spacing w:val="0"/>
          <w:w w:val="100"/>
          <w:position w:val="0"/>
          <w:shd w:val="clear" w:color="auto" w:fill="auto"/>
          <w:lang w:val="en-US" w:eastAsia="en-US" w:bidi="en-US"/>
        </w:rPr>
        <w:t xml:space="preserve"> (parts ii. and iii.), </w:t>
      </w:r>
      <w:r>
        <w:rPr>
          <w:rFonts w:ascii="Times New Roman" w:eastAsia="Times New Roman" w:hAnsi="Times New Roman" w:cs="Times New Roman"/>
          <w:smallCaps/>
          <w:color w:val="000000"/>
          <w:spacing w:val="0"/>
          <w:w w:val="100"/>
          <w:position w:val="0"/>
          <w:shd w:val="clear" w:color="auto" w:fill="auto"/>
          <w:lang w:val="en-US" w:eastAsia="en-US" w:bidi="en-US"/>
        </w:rPr>
        <w:t>Midrash, Targum,</w:t>
      </w:r>
      <w:r>
        <w:rPr>
          <w:rFonts w:ascii="Times New Roman" w:eastAsia="Times New Roman" w:hAnsi="Times New Roman" w:cs="Times New Roman"/>
          <w:color w:val="000000"/>
          <w:spacing w:val="0"/>
          <w:w w:val="100"/>
          <w:position w:val="0"/>
          <w:shd w:val="clear" w:color="auto" w:fill="auto"/>
          <w:lang w:val="en-US" w:eastAsia="en-US" w:bidi="en-US"/>
        </w:rPr>
        <w:t xml:space="preserve"> and for more detailed and critical treatment the references given to the </w:t>
      </w:r>
      <w:r>
        <w:rPr>
          <w:rFonts w:ascii="Times New Roman" w:eastAsia="Times New Roman" w:hAnsi="Times New Roman" w:cs="Times New Roman"/>
          <w:i/>
          <w:iCs/>
          <w:color w:val="000000"/>
          <w:spacing w:val="0"/>
          <w:w w:val="100"/>
          <w:position w:val="0"/>
          <w:shd w:val="clear" w:color="auto" w:fill="auto"/>
          <w:lang w:val="en-US" w:eastAsia="en-US" w:bidi="en-US"/>
        </w:rPr>
        <w:t>Jewish Encyclopedia.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Mishnah is a more or less careful arrangement of the extant Oral Law (see § 2). It forms the foundation of the Gemara, and is divided into six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ĕ</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rim</w:t>
      </w:r>
      <w:r>
        <w:rPr>
          <w:rFonts w:ascii="Times New Roman" w:eastAsia="Times New Roman" w:hAnsi="Times New Roman" w:cs="Times New Roman"/>
          <w:color w:val="000000"/>
          <w:spacing w:val="0"/>
          <w:w w:val="100"/>
          <w:position w:val="0"/>
          <w:shd w:val="clear" w:color="auto" w:fill="auto"/>
          <w:lang w:val="en-US" w:eastAsia="en-US" w:bidi="en-US"/>
        </w:rPr>
        <w:t xml:space="preserve"> or Orders, each con</w:t>
        <w:softHyphen/>
        <w:t xml:space="preserve">taining a number of </w:t>
      </w:r>
      <w:r>
        <w:rPr>
          <w:rFonts w:ascii="Times New Roman" w:eastAsia="Times New Roman" w:hAnsi="Times New Roman" w:cs="Times New Roman"/>
          <w:i/>
          <w:iCs/>
          <w:color w:val="000000"/>
          <w:spacing w:val="0"/>
          <w:w w:val="100"/>
          <w:position w:val="0"/>
          <w:shd w:val="clear" w:color="auto" w:fill="auto"/>
          <w:lang w:val="en-US" w:eastAsia="en-US" w:bidi="en-US"/>
        </w:rPr>
        <w:t>Massekt</w:t>
      </w:r>
      <w:r>
        <w:rPr>
          <w:rFonts w:ascii="Times New Roman" w:eastAsia="Times New Roman" w:hAnsi="Times New Roman" w:cs="Times New Roman"/>
          <w:i/>
          <w:iCs/>
          <w:color w:val="000000"/>
          <w:spacing w:val="0"/>
          <w:w w:val="100"/>
          <w:position w:val="0"/>
          <w:shd w:val="clear" w:color="auto" w:fill="auto"/>
          <w:lang w:val="en-US" w:eastAsia="en-US" w:bidi="en-US"/>
        </w:rPr>
        <w:t>ō</w:t>
      </w:r>
      <w:r>
        <w:rPr>
          <w:rFonts w:ascii="Times New Roman" w:eastAsia="Times New Roman" w:hAnsi="Times New Roman" w:cs="Times New Roman"/>
          <w:i/>
          <w:iCs/>
          <w:color w:val="000000"/>
          <w:spacing w:val="0"/>
          <w:w w:val="100"/>
          <w:position w:val="0"/>
          <w:shd w:val="clear" w:color="auto" w:fill="auto"/>
          <w:lang w:val="en-US" w:eastAsia="en-US" w:bidi="en-US"/>
        </w:rPr>
        <w:t>th</w:t>
      </w:r>
      <w:r>
        <w:rPr>
          <w:rFonts w:ascii="Times New Roman" w:eastAsia="Times New Roman" w:hAnsi="Times New Roman" w:cs="Times New Roman"/>
          <w:color w:val="000000"/>
          <w:spacing w:val="0"/>
          <w:w w:val="100"/>
          <w:position w:val="0"/>
          <w:shd w:val="clear" w:color="auto" w:fill="auto"/>
          <w:lang w:val="en-US" w:eastAsia="en-US" w:bidi="en-US"/>
        </w:rPr>
        <w:t xml:space="preserve"> (“ weavings,” cf. the etymology of “ text ”) or Tractates. These are subdivided into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lang w:val="en-US" w:eastAsia="en-US" w:bidi="en-US"/>
        </w:rPr>
        <w:t>ĕ</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i/>
          <w:iCs/>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sections ”) or chapters, and these again into paragraphs or sentences.</w:t>
      </w:r>
    </w:p>
    <w:p>
      <w:pPr>
        <w:pStyle w:val="Style3"/>
        <w:keepNext w:val="0"/>
        <w:keepLines w:val="0"/>
        <w:widowControl w:val="0"/>
        <w:shd w:val="clear" w:color="auto" w:fill="auto"/>
        <w:tabs>
          <w:tab w:pos="163" w:val="left"/>
        </w:tabs>
        <w:bidi w:val="0"/>
        <w:spacing w:line="187"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I.</w:t>
        <w:tab/>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i/>
          <w:iCs/>
          <w:color w:val="000000"/>
          <w:spacing w:val="0"/>
          <w:w w:val="100"/>
          <w:position w:val="0"/>
          <w:shd w:val="clear" w:color="auto" w:fill="auto"/>
          <w:lang w:val="en-US" w:eastAsia="en-US" w:bidi="en-US"/>
        </w:rPr>
        <w:t>ĕ</w:t>
      </w:r>
      <w:r>
        <w:rPr>
          <w:rFonts w:ascii="Times New Roman" w:eastAsia="Times New Roman" w:hAnsi="Times New Roman" w:cs="Times New Roman"/>
          <w:i/>
          <w:iCs/>
          <w:color w:val="000000"/>
          <w:spacing w:val="0"/>
          <w:w w:val="100"/>
          <w:position w:val="0"/>
          <w:shd w:val="clear" w:color="auto" w:fill="auto"/>
          <w:lang w:val="en-US" w:eastAsia="en-US" w:bidi="en-US"/>
        </w:rPr>
        <w:t>ra'</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seeds ”), the first Order, on agriculture, is intro</w:t>
        <w:softHyphen/>
        <w:t xml:space="preserve">duced by (1) </w:t>
      </w:r>
      <w:r>
        <w:rPr>
          <w:rFonts w:ascii="Times New Roman" w:eastAsia="Times New Roman" w:hAnsi="Times New Roman" w:cs="Times New Roman"/>
          <w:i/>
          <w:iCs/>
          <w:color w:val="000000"/>
          <w:spacing w:val="0"/>
          <w:w w:val="100"/>
          <w:position w:val="0"/>
          <w:shd w:val="clear" w:color="auto" w:fill="auto"/>
          <w:lang w:val="en-US" w:eastAsia="en-US" w:bidi="en-US"/>
        </w:rPr>
        <w:t>Bërâkõth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blessings ”), on daily and other prayers and blessings. (2) </w:t>
      </w:r>
      <w:r>
        <w:rPr>
          <w:rFonts w:ascii="Times New Roman" w:eastAsia="Times New Roman" w:hAnsi="Times New Roman" w:cs="Times New Roman"/>
          <w:i/>
          <w:iCs/>
          <w:color w:val="000000"/>
          <w:spacing w:val="0"/>
          <w:w w:val="100"/>
          <w:position w:val="0"/>
          <w:shd w:val="clear" w:color="auto" w:fill="auto"/>
          <w:lang w:val="en-US" w:eastAsia="en-US" w:bidi="en-US"/>
        </w:rPr>
        <w:t>Pë’ãh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corner ”), deals with I.ev. xix. 9 seq., xxiii. 22;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xxiv. 19-22, and the rights of the poor. (3)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en-US" w:eastAsia="en-US" w:bidi="en-US"/>
        </w:rPr>
        <w:t>ĕ</w:t>
      </w:r>
      <w:r>
        <w:rPr>
          <w:rFonts w:ascii="Times New Roman" w:eastAsia="Times New Roman" w:hAnsi="Times New Roman" w:cs="Times New Roman"/>
          <w:i/>
          <w:iCs/>
          <w:color w:val="000000"/>
          <w:spacing w:val="0"/>
          <w:w w:val="100"/>
          <w:position w:val="0"/>
          <w:shd w:val="clear" w:color="auto" w:fill="auto"/>
          <w:lang w:val="en-US" w:eastAsia="en-US" w:bidi="en-US"/>
        </w:rPr>
        <w:t xml:space="preserve">mai,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rather </w:t>
      </w:r>
      <w:r>
        <w:rPr>
          <w:rFonts w:ascii="Times New Roman" w:eastAsia="Times New Roman" w:hAnsi="Times New Roman" w:cs="Times New Roman"/>
          <w:i/>
          <w:iCs/>
          <w:color w:val="000000"/>
          <w:spacing w:val="0"/>
          <w:w w:val="100"/>
          <w:position w:val="0"/>
          <w:shd w:val="clear" w:color="auto" w:fill="auto"/>
          <w:lang w:val="en-US" w:eastAsia="en-US" w:bidi="en-US"/>
        </w:rPr>
        <w:t>Dammai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doubtful ”), on doubtful cases relating to the tithing of fruit offerings. (4) </w:t>
      </w:r>
      <w:r>
        <w:rPr>
          <w:rFonts w:ascii="Times New Roman" w:eastAsia="Times New Roman" w:hAnsi="Times New Roman" w:cs="Times New Roman"/>
          <w:i/>
          <w:iCs/>
          <w:color w:val="000000"/>
          <w:spacing w:val="0"/>
          <w:w w:val="100"/>
          <w:position w:val="0"/>
          <w:shd w:val="clear" w:color="auto" w:fill="auto"/>
          <w:lang w:val="en-US" w:eastAsia="en-US" w:bidi="en-US"/>
        </w:rPr>
        <w:t>Kil'ayim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two sorts”), on for</w:t>
        <w:softHyphen/>
        <w:t xml:space="preserve">bidden mixtures (Lev. xix. 19;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Deut. </w:t>
      </w:r>
      <w:r>
        <w:rPr>
          <w:rFonts w:ascii="Times New Roman" w:eastAsia="Times New Roman" w:hAnsi="Times New Roman" w:cs="Times New Roman"/>
          <w:color w:val="000000"/>
          <w:spacing w:val="0"/>
          <w:w w:val="100"/>
          <w:position w:val="0"/>
          <w:sz w:val="17"/>
          <w:szCs w:val="17"/>
          <w:shd w:val="clear" w:color="auto" w:fill="auto"/>
          <w:lang w:val="en-US" w:eastAsia="en-US" w:bidi="en-US"/>
        </w:rPr>
        <w:t>xxii. 9-11).</w:t>
        <w:tab/>
        <w:t xml:space="preserve">(5) </w:t>
      </w:r>
      <w:r>
        <w:rPr>
          <w:rFonts w:ascii="Times New Roman" w:eastAsia="Times New Roman" w:hAnsi="Times New Roman" w:cs="Times New Roman"/>
          <w:i/>
          <w:iCs/>
          <w:color w:val="000000"/>
          <w:spacing w:val="0"/>
          <w:w w:val="100"/>
          <w:position w:val="0"/>
          <w:shd w:val="clear" w:color="auto" w:fill="auto"/>
          <w:lang w:val="en-US" w:eastAsia="en-US" w:bidi="en-US"/>
        </w:rPr>
        <w:t>Sh</w:t>
      </w:r>
      <w:r>
        <w:rPr>
          <w:rFonts w:ascii="Times New Roman" w:eastAsia="Times New Roman" w:hAnsi="Times New Roman" w:cs="Times New Roman"/>
          <w:i/>
          <w:iCs/>
          <w:color w:val="000000"/>
          <w:spacing w:val="0"/>
          <w:w w:val="100"/>
          <w:position w:val="0"/>
          <w:shd w:val="clear" w:color="auto" w:fill="auto"/>
          <w:lang w:val="en-US" w:eastAsia="en-US" w:bidi="en-US"/>
        </w:rPr>
        <w:t>ĕ</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lang w:val="en-US" w:eastAsia="en-US" w:bidi="en-US"/>
        </w:rPr>
        <w:t>ī'īt</w:t>
      </w:r>
      <w:r>
        <w:rPr>
          <w:rFonts w:ascii="Times New Roman" w:eastAsia="Times New Roman" w:hAnsi="Times New Roman" w:cs="Times New Roman"/>
          <w:i/>
          <w:iCs/>
          <w:color w:val="000000"/>
          <w:spacing w:val="0"/>
          <w:w w:val="100"/>
          <w:position w:val="0"/>
          <w:shd w:val="clear" w:color="auto" w:fill="auto"/>
          <w:lang w:val="en-US" w:eastAsia="en-US" w:bidi="en-US"/>
        </w:rPr>
        <w:t>h</w:t>
      </w:r>
    </w:p>
    <w:p>
      <w:pPr>
        <w:pStyle w:val="Style3"/>
        <w:keepNext w:val="0"/>
        <w:keepLines w:val="0"/>
        <w:widowControl w:val="0"/>
        <w:shd w:val="clear" w:color="auto" w:fill="auto"/>
        <w:tabs>
          <w:tab w:pos="3075" w:val="left"/>
        </w:tabs>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seventh ”), on the sabbatical year (Ex. xxiii. 11 ; Lev. xxv. 1-8;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XV. I sqq.). (6)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ĕ</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heave offerings ”), on the laws in Num. xviii. 8 sqq., 25 seq. ;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Deut. </w:t>
      </w:r>
      <w:r>
        <w:rPr>
          <w:rFonts w:ascii="Times New Roman" w:eastAsia="Times New Roman" w:hAnsi="Times New Roman" w:cs="Times New Roman"/>
          <w:color w:val="000000"/>
          <w:spacing w:val="0"/>
          <w:w w:val="100"/>
          <w:position w:val="0"/>
          <w:sz w:val="17"/>
          <w:szCs w:val="17"/>
          <w:shd w:val="clear" w:color="auto" w:fill="auto"/>
          <w:lang w:val="en-US" w:eastAsia="en-US" w:bidi="en-US"/>
        </w:rPr>
        <w:t>xviii. 4.</w:t>
        <w:tab/>
        <w:t xml:space="preserve">(7)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Ma'asr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tithes ”)</w:t>
      </w:r>
    </w:p>
    <w:p>
      <w:pPr>
        <w:pStyle w:val="Style3"/>
        <w:keepNext w:val="0"/>
        <w:keepLines w:val="0"/>
        <w:widowControl w:val="0"/>
        <w:shd w:val="clear" w:color="auto" w:fill="auto"/>
        <w:tabs>
          <w:tab w:pos="1640" w:val="left"/>
        </w:tabs>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Ma'as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ē</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 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first tithe ”), with reference to the Levites, Num. xviii. 21-24.</w:t>
        <w:tab/>
        <w:t xml:space="preserve">(8)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Ma'as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ē</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 Sh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ē</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second tithe ”), with</w:t>
      </w:r>
    </w:p>
    <w:p>
      <w:pPr>
        <w:pStyle w:val="Style3"/>
        <w:keepNext w:val="0"/>
        <w:keepLines w:val="0"/>
        <w:widowControl w:val="0"/>
        <w:shd w:val="clear" w:color="auto" w:fill="auto"/>
        <w:tabs>
          <w:tab w:pos="4682" w:val="left"/>
        </w:tabs>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reference to the tithe eaten at Jerusalem,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Deut. </w:t>
      </w:r>
      <w:r>
        <w:rPr>
          <w:rFonts w:ascii="Times New Roman" w:eastAsia="Times New Roman" w:hAnsi="Times New Roman" w:cs="Times New Roman"/>
          <w:color w:val="000000"/>
          <w:spacing w:val="0"/>
          <w:w w:val="100"/>
          <w:position w:val="0"/>
          <w:sz w:val="17"/>
          <w:szCs w:val="17"/>
          <w:shd w:val="clear" w:color="auto" w:fill="auto"/>
          <w:lang w:val="en-US" w:eastAsia="en-US" w:bidi="en-US"/>
        </w:rPr>
        <w:t>xiv. 22-26.</w:t>
        <w:tab/>
        <w:t>(9)</w:t>
      </w:r>
    </w:p>
    <w:p>
      <w:pPr>
        <w:pStyle w:val="Style3"/>
        <w:keepNext w:val="0"/>
        <w:keepLines w:val="0"/>
        <w:widowControl w:val="0"/>
        <w:shd w:val="clear" w:color="auto" w:fill="auto"/>
        <w:tabs>
          <w:tab w:pos="3122" w:val="left"/>
        </w:tabs>
        <w:bidi w:val="0"/>
        <w:spacing w:line="175"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Hall</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(“cake”), on Num. xv. 18-21.</w:t>
        <w:tab/>
        <w:t>(10)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Orlãh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(“foreskin”</w:t>
      </w:r>
    </w:p>
    <w:p>
      <w:pPr>
        <w:pStyle w:val="Style3"/>
        <w:keepNext w:val="0"/>
        <w:keepLines w:val="0"/>
        <w:widowControl w:val="0"/>
        <w:shd w:val="clear" w:color="auto" w:fill="auto"/>
        <w:tabs>
          <w:tab w:pos="2587" w:val="left"/>
        </w:tabs>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[of trees]), on Lev. xix. 23-25.</w:t>
        <w:tab/>
        <w:t xml:space="preserve">(11)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Bikk</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ūrī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(“first-fruits”),</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Ex. xxiii. 19;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Deut, </w:t>
      </w:r>
      <w:r>
        <w:rPr>
          <w:rFonts w:ascii="Times New Roman" w:eastAsia="Times New Roman" w:hAnsi="Times New Roman" w:cs="Times New Roman"/>
          <w:color w:val="000000"/>
          <w:spacing w:val="0"/>
          <w:w w:val="100"/>
          <w:position w:val="0"/>
          <w:sz w:val="17"/>
          <w:szCs w:val="17"/>
          <w:shd w:val="clear" w:color="auto" w:fill="auto"/>
          <w:lang w:val="en-US" w:eastAsia="en-US" w:bidi="en-US"/>
        </w:rPr>
        <w:t>xxvi. 1 sqq. The fourth chapter of this treatise, printed in most editions, is properly a Baraitha.</w:t>
      </w:r>
    </w:p>
    <w:p>
      <w:pPr>
        <w:pStyle w:val="Style3"/>
        <w:keepNext w:val="0"/>
        <w:keepLines w:val="0"/>
        <w:widowControl w:val="0"/>
        <w:shd w:val="clear" w:color="auto" w:fill="auto"/>
        <w:tabs>
          <w:tab w:pos="422" w:val="left"/>
        </w:tabs>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II.</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ē</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festival ”). (1)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Shabb</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 the Sabbath as a day of</w:t>
      </w:r>
    </w:p>
    <w:p>
      <w:pPr>
        <w:pStyle w:val="Style3"/>
        <w:keepNext w:val="0"/>
        <w:keepLines w:val="0"/>
        <w:widowControl w:val="0"/>
        <w:shd w:val="clear" w:color="auto" w:fill="auto"/>
        <w:tabs>
          <w:tab w:pos="989" w:val="left"/>
        </w:tabs>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rest, Ex. xx. 10, xxiii. 12;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 14, &amp;c. (useful edition by Strack, 1890). (2)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Ē</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mixtures ” or amalgamations), on legitimate methods of avoiding inconvenient restrictions on the Sabbath. (3)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ĕ</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āḥī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passovers"—sacrifices and meals), on Ex. xii., xiii. 6-8, xxiii. 15; Lev. xxiii. 5 sqq.; Num. xxviii. 16 sqq.;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Deut. </w:t>
      </w:r>
      <w:r>
        <w:rPr>
          <w:rFonts w:ascii="Times New Roman" w:eastAsia="Times New Roman" w:hAnsi="Times New Roman" w:cs="Times New Roman"/>
          <w:color w:val="000000"/>
          <w:spacing w:val="0"/>
          <w:w w:val="100"/>
          <w:position w:val="0"/>
          <w:sz w:val="17"/>
          <w:szCs w:val="17"/>
          <w:shd w:val="clear" w:color="auto" w:fill="auto"/>
          <w:lang w:val="en-US" w:eastAsia="en-US" w:bidi="en-US"/>
        </w:rPr>
        <w:t>xvi. I sqq., &amp;c.</w:t>
        <w:tab/>
        <w:t xml:space="preserve">(4)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Sheqalim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shekels"), on the poll tax (Ex. xxx.</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12 sqq.; Neh. x. 33). (5)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(Aram. “ the day ”),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Kipp</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atonement ”),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 ha-k.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the day of atonement ”), on Lev. xvi., xxiii. 26-32 (useful edition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 Strack, Leipzig, 1904), (6)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Sukk</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Sukk</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booth[s]" ), on Lev. xxiii. 34 sqq.; Num.</w:t>
      </w:r>
    </w:p>
    <w:p>
      <w:pPr>
        <w:pStyle w:val="Style3"/>
        <w:keepNext w:val="0"/>
        <w:keepLines w:val="0"/>
        <w:widowControl w:val="0"/>
        <w:shd w:val="clear" w:color="auto" w:fill="auto"/>
        <w:tabs>
          <w:tab w:pos="441" w:val="left"/>
          <w:tab w:pos="2615" w:val="left"/>
        </w:tabs>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xxix.</w:t>
        <w:tab/>
        <w:t xml:space="preserve">12 sqq.;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Deut. </w:t>
      </w:r>
      <w:r>
        <w:rPr>
          <w:rFonts w:ascii="Times New Roman" w:eastAsia="Times New Roman" w:hAnsi="Times New Roman" w:cs="Times New Roman"/>
          <w:color w:val="000000"/>
          <w:spacing w:val="0"/>
          <w:w w:val="100"/>
          <w:position w:val="0"/>
          <w:sz w:val="17"/>
          <w:szCs w:val="17"/>
          <w:shd w:val="clear" w:color="auto" w:fill="auto"/>
          <w:lang w:val="en-US" w:eastAsia="en-US" w:bidi="en-US"/>
        </w:rPr>
        <w:t>xvi. 13-16.</w:t>
        <w:tab/>
        <w:t xml:space="preserve">(7)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ēṣā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(“egg,” the opening</w:t>
      </w:r>
    </w:p>
    <w:p>
      <w:pPr>
        <w:pStyle w:val="Style3"/>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word)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 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good [i.e. feast] day ”), general rules for feast</w:t>
        <w:softHyphen/>
        <w:t xml:space="preserve">days. (8)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sh ha-Sh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New Year festival"), on the services, the calendar, and more particularly on the first of the Seventh Month (cf. Num. x. 10, xxviii. 11 sqq., &amp;c.). (9)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Ta'an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Ta'aniyy</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 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fast[s]," special observances relating thereunto; in particular to public fasts appointed in time of drought. (10)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ĕ</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gill</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roll ” (of Esther), the reading of it at Purim, &amp;c. (11)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ē</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 q</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āṭō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small M,” to distinguish it from the name of this order),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Mashk</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first word), regulations for the intermediate festi</w:t>
        <w:softHyphen/>
        <w:t xml:space="preserve">vals at Passover and Tabernacles. (12)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Ḥă</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festival"), on the three principal festivals,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xvi. 16, the duty of pilgrims and the defilements to be avoided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(transl. </w:t>
      </w:r>
      <w:r>
        <w:rPr>
          <w:rFonts w:ascii="Times New Roman" w:eastAsia="Times New Roman" w:hAnsi="Times New Roman" w:cs="Times New Roman"/>
          <w:color w:val="000000"/>
          <w:spacing w:val="0"/>
          <w:w w:val="100"/>
          <w:position w:val="0"/>
          <w:sz w:val="17"/>
          <w:szCs w:val="17"/>
          <w:shd w:val="clear" w:color="auto" w:fill="auto"/>
          <w:lang w:val="en-US" w:eastAsia="en-US" w:bidi="en-US"/>
        </w:rPr>
        <w:t>from Bab. Talm. by A. W. Streane, Camb., 1891).</w:t>
      </w:r>
    </w:p>
    <w:p>
      <w:pPr>
        <w:pStyle w:val="Style3"/>
        <w:keepNext w:val="0"/>
        <w:keepLines w:val="0"/>
        <w:widowControl w:val="0"/>
        <w:shd w:val="clear" w:color="auto" w:fill="auto"/>
        <w:tabs>
          <w:tab w:pos="1454" w:val="left"/>
        </w:tabs>
        <w:bidi w:val="0"/>
        <w:spacing w:line="18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III. 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(“women”). (1)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ĕ</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sisters-in-law ”), on the levirate, &amp;c.</w:t>
        <w:tab/>
        <w:t xml:space="preserve">(2)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ĕ</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marriage contracts ”), rights</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duties of husband and wife. (3)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ĕ</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vows"), on Num.</w:t>
      </w:r>
    </w:p>
    <w:p>
      <w:pPr>
        <w:pStyle w:val="Style3"/>
        <w:keepNext w:val="0"/>
        <w:keepLines w:val="0"/>
        <w:widowControl w:val="0"/>
        <w:shd w:val="clear" w:color="auto" w:fill="auto"/>
        <w:tabs>
          <w:tab w:pos="492" w:val="left"/>
        </w:tabs>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xxx.</w:t>
        <w:tab/>
        <w:t xml:space="preserve">(4)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Nazirite"), on Num. vi. (5)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ṭṭī</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docu</w:t>
        <w:softHyphen/>
      </w:r>
    </w:p>
    <w:p>
      <w:pPr>
        <w:pStyle w:val="Style3"/>
        <w:keepNext w:val="0"/>
        <w:keepLines w:val="0"/>
        <w:widowControl w:val="0"/>
        <w:shd w:val="clear" w:color="auto" w:fill="auto"/>
        <w:tabs>
          <w:tab w:pos="2467" w:val="left"/>
        </w:tabs>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ments ”), on divorce and separation. (6)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ōṭā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the faithless woman”), on Num. v. 11-31.</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(7) Qidd</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(“sanctifications”</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of marriage), on the contraction of legal marriage.</w:t>
      </w:r>
    </w:p>
    <w:p>
      <w:pPr>
        <w:pStyle w:val="Style3"/>
        <w:keepNext w:val="0"/>
        <w:keepLines w:val="0"/>
        <w:widowControl w:val="0"/>
        <w:shd w:val="clear" w:color="auto" w:fill="auto"/>
        <w:tabs>
          <w:tab w:pos="473" w:val="left"/>
        </w:tabs>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IV.</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ĕ</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damages ”), also known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ĕ</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deeds of</w:t>
      </w:r>
    </w:p>
    <w:p>
      <w:pPr>
        <w:pStyle w:val="Style3"/>
        <w:keepNext w:val="0"/>
        <w:keepLines w:val="0"/>
        <w:widowControl w:val="0"/>
        <w:shd w:val="clear" w:color="auto" w:fill="auto"/>
        <w:tabs>
          <w:tab w:pos="3846" w:val="left"/>
        </w:tabs>
        <w:bidi w:val="0"/>
        <w:spacing w:line="187"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help ”). (1)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 xml:space="preserve"> qamm</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(Aram. “ the first gate ”), on injuries and compensation; civil law. (2) </w:t>
      </w:r>
      <w:r>
        <w:rPr>
          <w:rFonts w:ascii="Times New Roman" w:eastAsia="Times New Roman" w:hAnsi="Times New Roman" w:cs="Times New Roman"/>
          <w:i/>
          <w:iCs/>
          <w:color w:val="000000"/>
          <w:spacing w:val="0"/>
          <w:w w:val="100"/>
          <w:position w:val="0"/>
          <w:shd w:val="clear" w:color="auto" w:fill="auto"/>
          <w:lang w:val="en-US" w:eastAsia="en-US" w:bidi="en-US"/>
        </w:rPr>
        <w:t>B. M</w:t>
      </w:r>
      <w:r>
        <w:rPr>
          <w:rFonts w:ascii="Times New Roman" w:eastAsia="Times New Roman" w:hAnsi="Times New Roman" w:cs="Times New Roman"/>
          <w:i/>
          <w:iCs/>
          <w:color w:val="000000"/>
          <w:spacing w:val="0"/>
          <w:w w:val="100"/>
          <w:position w:val="0"/>
          <w:shd w:val="clear" w:color="auto" w:fill="auto"/>
          <w:lang w:val="en-US" w:eastAsia="en-US" w:bidi="en-US"/>
        </w:rPr>
        <w:t>ĕṣī</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(Aram. "the middle gate ”), on sales, leases, lost property. (3) </w:t>
      </w:r>
      <w:r>
        <w:rPr>
          <w:rFonts w:ascii="Times New Roman" w:eastAsia="Times New Roman" w:hAnsi="Times New Roman" w:cs="Times New Roman"/>
          <w:i/>
          <w:iCs/>
          <w:color w:val="000000"/>
          <w:spacing w:val="0"/>
          <w:w w:val="100"/>
          <w:position w:val="0"/>
          <w:shd w:val="clear" w:color="auto" w:fill="auto"/>
          <w:lang w:val="en-US" w:eastAsia="en-US" w:bidi="en-US"/>
        </w:rPr>
        <w:t>B. Bathr</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(Aram. "the last gate ”), on real estate, succession, &amp;c.</w:t>
        <w:tab/>
        <w:t xml:space="preserve">(4) </w:t>
      </w:r>
      <w:r>
        <w:rPr>
          <w:rFonts w:ascii="Times New Roman" w:eastAsia="Times New Roman" w:hAnsi="Times New Roman" w:cs="Times New Roman"/>
          <w:i/>
          <w:iCs/>
          <w:color w:val="000000"/>
          <w:spacing w:val="0"/>
          <w:w w:val="100"/>
          <w:position w:val="0"/>
          <w:shd w:val="clear" w:color="auto" w:fill="auto"/>
          <w:lang w:val="en-US" w:eastAsia="en-US" w:bidi="en-US"/>
        </w:rPr>
        <w:t>Sanhedrin</w:t>
      </w:r>
    </w:p>
    <w:p>
      <w:pPr>
        <w:pStyle w:val="Style3"/>
        <w:keepNext w:val="0"/>
        <w:keepLines w:val="0"/>
        <w:widowControl w:val="0"/>
        <w:shd w:val="clear" w:color="auto" w:fill="auto"/>
        <w:tabs>
          <w:tab w:pos="418" w:val="left"/>
        </w:tabs>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(σ</w:t>
      </w:r>
      <w:r>
        <w:rPr>
          <w:rFonts w:ascii="Times New Roman" w:eastAsia="Times New Roman" w:hAnsi="Times New Roman" w:cs="Times New Roman"/>
          <w:i/>
          <w:iCs/>
          <w:color w:val="000000"/>
          <w:spacing w:val="0"/>
          <w:w w:val="100"/>
          <w:position w:val="0"/>
          <w:shd w:val="clear" w:color="auto" w:fill="auto"/>
          <w:lang w:val="en-US" w:eastAsia="en-US" w:bidi="en-US"/>
        </w:rPr>
        <w:t>υνέδριον</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 procedure and criminal law. (5) </w:t>
      </w:r>
      <w:r>
        <w:rPr>
          <w:rFonts w:ascii="Times New Roman" w:eastAsia="Times New Roman" w:hAnsi="Times New Roman" w:cs="Times New Roman"/>
          <w:i/>
          <w:iCs/>
          <w:color w:val="000000"/>
          <w:spacing w:val="0"/>
          <w:w w:val="100"/>
          <w:position w:val="0"/>
          <w:shd w:val="clear" w:color="auto" w:fill="auto"/>
          <w:lang w:val="en-US" w:eastAsia="en-US" w:bidi="en-US"/>
        </w:rPr>
        <w:t>Makk</w:t>
      </w:r>
      <w:r>
        <w:rPr>
          <w:rFonts w:ascii="Times New Roman" w:eastAsia="Times New Roman" w:hAnsi="Times New Roman" w:cs="Times New Roman"/>
          <w:i/>
          <w:iCs/>
          <w:color w:val="000000"/>
          <w:spacing w:val="0"/>
          <w:w w:val="100"/>
          <w:position w:val="0"/>
          <w:shd w:val="clear" w:color="auto" w:fill="auto"/>
          <w:lang w:val="en-US" w:eastAsia="en-US" w:bidi="en-US"/>
        </w:rPr>
        <w:t>ō</w:t>
      </w:r>
      <w:r>
        <w:rPr>
          <w:rFonts w:ascii="Times New Roman" w:eastAsia="Times New Roman" w:hAnsi="Times New Roman" w:cs="Times New Roman"/>
          <w:i/>
          <w:iCs/>
          <w:color w:val="000000"/>
          <w:spacing w:val="0"/>
          <w:w w:val="100"/>
          <w:position w:val="0"/>
          <w:shd w:val="clear" w:color="auto" w:fill="auto"/>
          <w:lang w:val="en-US" w:eastAsia="en-US" w:bidi="en-US"/>
        </w:rPr>
        <w:t>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“blows,” on the number to be inflicted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(Deut. </w:t>
      </w:r>
      <w:r>
        <w:rPr>
          <w:rFonts w:ascii="Times New Roman" w:eastAsia="Times New Roman" w:hAnsi="Times New Roman" w:cs="Times New Roman"/>
          <w:color w:val="000000"/>
          <w:spacing w:val="0"/>
          <w:w w:val="100"/>
          <w:position w:val="0"/>
          <w:sz w:val="17"/>
          <w:szCs w:val="17"/>
          <w:shd w:val="clear" w:color="auto" w:fill="auto"/>
          <w:lang w:val="en-US" w:eastAsia="en-US" w:bidi="en-US"/>
        </w:rPr>
        <w:t>xxv. 1-3) and for what offence, &amp;c.</w:t>
        <w:tab/>
        <w:t xml:space="preserve">(6) </w:t>
      </w:r>
      <w:r>
        <w:rPr>
          <w:rFonts w:ascii="Times New Roman" w:eastAsia="Times New Roman" w:hAnsi="Times New Roman" w:cs="Times New Roman"/>
          <w:i/>
          <w:iCs/>
          <w:color w:val="000000"/>
          <w:spacing w:val="0"/>
          <w:w w:val="100"/>
          <w:position w:val="0"/>
          <w:shd w:val="clear" w:color="auto" w:fill="auto"/>
          <w:lang w:val="en-US" w:eastAsia="en-US" w:bidi="en-US"/>
        </w:rPr>
        <w:t>Sh</w:t>
      </w:r>
      <w:r>
        <w:rPr>
          <w:rFonts w:ascii="Times New Roman" w:eastAsia="Times New Roman" w:hAnsi="Times New Roman" w:cs="Times New Roman"/>
          <w:i/>
          <w:iCs/>
          <w:color w:val="000000"/>
          <w:spacing w:val="0"/>
          <w:w w:val="100"/>
          <w:position w:val="0"/>
          <w:shd w:val="clear" w:color="auto" w:fill="auto"/>
          <w:lang w:val="en-US" w:eastAsia="en-US" w:bidi="en-US"/>
        </w:rPr>
        <w:t>ĕ</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ō</w:t>
      </w:r>
      <w:r>
        <w:rPr>
          <w:rFonts w:ascii="Times New Roman" w:eastAsia="Times New Roman" w:hAnsi="Times New Roman" w:cs="Times New Roman"/>
          <w:i/>
          <w:iCs/>
          <w:color w:val="000000"/>
          <w:spacing w:val="0"/>
          <w:w w:val="100"/>
          <w:position w:val="0"/>
          <w:shd w:val="clear" w:color="auto" w:fill="auto"/>
          <w:lang w:val="en-US" w:eastAsia="en-US" w:bidi="en-US"/>
        </w:rPr>
        <w:t>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oaths ”), on Lev. v. 4 sqq. (7)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Ē</w:t>
      </w:r>
      <w:r>
        <w:rPr>
          <w:rFonts w:ascii="Times New Roman" w:eastAsia="Times New Roman" w:hAnsi="Times New Roman" w:cs="Times New Roman"/>
          <w:i/>
          <w:iCs/>
          <w:color w:val="000000"/>
          <w:spacing w:val="0"/>
          <w:w w:val="100"/>
          <w:position w:val="0"/>
          <w:shd w:val="clear" w:color="auto" w:fill="auto"/>
          <w:lang w:val="en-US" w:eastAsia="en-US" w:bidi="en-US"/>
        </w:rPr>
        <w:t>duyy</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th,</w:t>
      </w:r>
    </w:p>
    <w:p>
      <w:pPr>
        <w:pStyle w:val="Style3"/>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testimonies,” viz. of later teachers regarding their predecessors, on the schools of Hillel and Shammai, 'Aqiba, &amp;c., important for the problem of the literary growth of the Mishnah. (8)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Ă</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 Z</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idolatrous worship ”), regulations in reference to heathen idolatry (useful edition with Germ.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transl.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Strack, 1909; and including that of the Gemara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 Ewald, Nuremberg, 1856). (9)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Pirq</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ē</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 sayings of the fathers ”), a famous collection of maxims; the sixth chapter on “ the possession of the law " does not properly belong to the Mishnah (ed. with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transl.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C. Taylor, Camb. 1897, and in German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 Strack, 1901). (10)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ōrā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 </w:t>
      </w:r>
      <w:r>
        <w:rPr>
          <w:rFonts w:ascii="Times New Roman" w:eastAsia="Times New Roman" w:hAnsi="Times New Roman" w:cs="Times New Roman"/>
          <w:color w:val="000000"/>
          <w:spacing w:val="0"/>
          <w:w w:val="100"/>
          <w:position w:val="0"/>
          <w:sz w:val="17"/>
          <w:szCs w:val="17"/>
          <w:shd w:val="clear" w:color="auto" w:fill="auto"/>
          <w:lang w:val="en-US" w:eastAsia="en-US" w:bidi="en-US"/>
        </w:rPr>
        <w:t>(“ decisions ”), on judicial and other errors (Lev. iv. 1 sqq.).</w:t>
      </w:r>
    </w:p>
    <w:p>
      <w:pPr>
        <w:pStyle w:val="Style3"/>
        <w:keepNext w:val="0"/>
        <w:keepLines w:val="0"/>
        <w:widowControl w:val="0"/>
        <w:shd w:val="clear" w:color="auto" w:fill="auto"/>
        <w:tabs>
          <w:tab w:pos="403" w:val="left"/>
        </w:tabs>
        <w:bidi w:val="0"/>
        <w:spacing w:line="175"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V.</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(“holy things”).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(1) Z</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ē</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āḥī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(“sacrifices”), or</w:t>
      </w:r>
    </w:p>
    <w:p>
      <w:pPr>
        <w:pStyle w:val="Style3"/>
        <w:keepNext w:val="0"/>
        <w:keepLines w:val="0"/>
        <w:widowControl w:val="0"/>
        <w:shd w:val="clear" w:color="auto" w:fill="auto"/>
        <w:tabs>
          <w:tab w:pos="1277" w:val="left"/>
        </w:tabs>
        <w:bidi w:val="0"/>
        <w:spacing w:line="180"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ĕḥīṭ</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ath qödãshîm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slaughter of holy things ”), on the sacri</w:t>
        <w:softHyphen/>
        <w:t>ficial laws, &amp;c.</w:t>
        <w:tab/>
        <w:t xml:space="preserve">(2)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ĕ</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āḥō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meat-offerings ”), on Lev. ii. 5,</w:t>
      </w:r>
    </w:p>
    <w:p>
      <w:pPr>
        <w:pStyle w:val="Style3"/>
        <w:keepNext w:val="0"/>
        <w:keepLines w:val="0"/>
        <w:widowControl w:val="0"/>
        <w:shd w:val="clear" w:color="auto" w:fill="auto"/>
        <w:tabs>
          <w:tab w:pos="2666" w:val="left"/>
        </w:tabs>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11-13, vi. 7-16, xiv. 10-20, &amp;c. (3)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Ḥ</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ull</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ĕḥīṭath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II.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[the slaughter of] common things ”), on non-sacrificial meat. (4)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ĕ</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(“first-born”), on firstlings (Ex. xiii. 12 seq.; Lev. xxvii. 26 seq.; Num. viii. 16-18, xviii. 15-17;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xv. 19 sqq.). (5)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(“valuations” for ransom, &amp;c.), on Lev. xxv. 15-28, 29 sqq., xxvii. 2 sqq., 28 seq. (6)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ĕ</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exchange" of dedicated animals), cf. Lev. xxvii. 10, 33. (7)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ĕ</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cutting off ”), on excommunication, &amp;c.</w:t>
        <w:tab/>
        <w:t xml:space="preserve">(8)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ĕ</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trespass ”) on</w:t>
      </w:r>
    </w:p>
    <w:p>
      <w:pPr>
        <w:pStyle w:val="Style3"/>
        <w:keepNext w:val="0"/>
        <w:keepLines w:val="0"/>
        <w:widowControl w:val="0"/>
        <w:shd w:val="clear" w:color="auto" w:fill="auto"/>
        <w:tabs>
          <w:tab w:pos="2476" w:val="left"/>
        </w:tabs>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Lev. v. 15 sqq.; Num. v. 6—8.</w:t>
        <w:tab/>
        <w:t xml:space="preserve">(9)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 the “continual or</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Mishnah stands in contrast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Miqr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(“reading, scripture”); its Aram. equivalent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Mathn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repeat,” whence the appellation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Tann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teacher ” (§ 3 below). These and the terms Gemara, Talmud, &amp;c., are more fully explained 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 Strack’s invaluable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Einleitung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 den Talmud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(Leipzig, 1908), pp. 2 sqq.</w:t>
      </w:r>
    </w:p>
    <w:p>
      <w:pPr>
        <w:widowControl w:val="0"/>
        <w:spacing w:line="1" w:lineRule="exact"/>
      </w:pPr>
    </w:p>
    <w:sectPr>
      <w:footnotePr>
        <w:pos w:val="pageBottom"/>
        <w:numFmt w:val="decimal"/>
        <w:numRestart w:val="continuous"/>
      </w:footnotePr>
      <w:type w:val="continuous"/>
      <w:pgSz w:w="12240" w:h="15840"/>
      <w:pgMar w:top="1349" w:left="1136" w:right="1034" w:bottom="6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