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Mishnah,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differ from and are sometimes older than the Mishnic material, with which they sometimes conflict (so in particular as regards the rejected decisions of the school of Shammai). They usually begin: “ our Masters taught,” “ it is taught,” or "he taught,” the verb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Tann</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 teachers ”) being employed (see further </w:t>
      </w:r>
      <w:r>
        <w:rPr>
          <w:rFonts w:ascii="Times New Roman" w:eastAsia="Times New Roman" w:hAnsi="Times New Roman" w:cs="Times New Roman"/>
          <w:i/>
          <w:iCs/>
          <w:color w:val="000000"/>
          <w:spacing w:val="0"/>
          <w:w w:val="100"/>
          <w:position w:val="0"/>
          <w:shd w:val="clear" w:color="auto" w:fill="auto"/>
          <w:lang w:val="en-US" w:eastAsia="en-US" w:bidi="en-US"/>
        </w:rPr>
        <w:t>Jew. Ency.,</w:t>
      </w:r>
      <w:r>
        <w:rPr>
          <w:rFonts w:ascii="Times New Roman" w:eastAsia="Times New Roman" w:hAnsi="Times New Roman" w:cs="Times New Roman"/>
          <w:color w:val="000000"/>
          <w:spacing w:val="0"/>
          <w:w w:val="100"/>
          <w:position w:val="0"/>
          <w:shd w:val="clear" w:color="auto" w:fill="auto"/>
          <w:lang w:val="en-US" w:eastAsia="en-US" w:bidi="en-US"/>
        </w:rPr>
        <w:t xml:space="preserve"> ii. 513 seq.). Parallel to the Mishnah is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sepht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independent compila</w:t>
        <w:softHyphen/>
        <w:t>tion associated with R. Nehemiah (a contemporary of Meir and Simeon b. Yo</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ai),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iyya b. Abba and others; it is arranged according to the Mishnic orders and tractates, but lacks IV. 9 and V. 9-11. The halakoth are fuller and sometimes older than the corresponding decisions in the Mishnah, and the treatment is generally more haggadic.@@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 of making the dis</w:t>
        <w:softHyphen/>
        <w:t xml:space="preserve">cussions part of an interpretation of the Old Testament (halakic Midrash), as exemplified in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sepht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apparently older than the abstract and independent decisions of the Mishnah—which presuppose an acquaintance with the Pentateuchal basis—and, like the employment of narrative or historical Midrash (e.g. in the Pentateuch, Chronicles and Jubilees), was more suitable for popular exposition than for the academies. For other halakic literature which goes back to the period of the Tann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m, see the </w:t>
      </w:r>
      <w:r>
        <w:rPr>
          <w:rFonts w:ascii="Times New Roman" w:eastAsia="Times New Roman" w:hAnsi="Times New Roman" w:cs="Times New Roman"/>
          <w:i/>
          <w:iCs/>
          <w:color w:val="000000"/>
          <w:spacing w:val="0"/>
          <w:w w:val="100"/>
          <w:position w:val="0"/>
          <w:shd w:val="clear" w:color="auto" w:fill="auto"/>
          <w:lang w:val="en-US" w:eastAsia="en-US" w:bidi="en-US"/>
        </w:rPr>
        <w:t>Mekilt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Siphr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Siphr</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art.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 5,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Palestinian Talmud, although used by the Qaraitcs in their controversies, fell into neglect, and the Babylonian recen</w:t>
        <w:softHyphen/>
        <w:t xml:space="preserve">sion became, what it has since been, the authoritative guide. With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ěō</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heads of Sura and Pumbeditha (about 589-1038), we enter upon another stage. The “ canonical ” Mishnah and Gemara were now the objects of study, and the scattered Jews appealed to the central bodies of Judaism in Babylonia for information and guidance. The Geonim in their “ Responses ” or “ Questions and Answers ” supplied authorita</w:t>
        <w:softHyphen/>
        <w:t xml:space="preserve">tive interpretations of the Old Testament or of the Talmud, and regulated the application of the teaching of the past to the changed conditions under which their brethren now lived. The legal, religious and other decisions formulated in the pontifical communications of one generation usually became the venerated teaching of the next, and a new class of literature thus sprang into existence. (See </w:t>
      </w:r>
      <w:r>
        <w:rPr>
          <w:rFonts w:ascii="Times New Roman" w:eastAsia="Times New Roman" w:hAnsi="Times New Roman" w:cs="Times New Roman"/>
          <w:smallCaps/>
          <w:color w:val="000000"/>
          <w:spacing w:val="0"/>
          <w:w w:val="100"/>
          <w:position w:val="0"/>
          <w:shd w:val="clear" w:color="auto" w:fill="auto"/>
          <w:lang w:val="en-US" w:eastAsia="en-US" w:bidi="en-US"/>
        </w:rPr>
        <w:t>Gaon.)</w:t>
      </w:r>
      <w:r>
        <w:rPr>
          <w:rFonts w:ascii="Times New Roman" w:eastAsia="Times New Roman" w:hAnsi="Times New Roman" w:cs="Times New Roman"/>
          <w:color w:val="000000"/>
          <w:spacing w:val="0"/>
          <w:w w:val="100"/>
          <w:position w:val="0"/>
          <w:shd w:val="clear" w:color="auto" w:fill="auto"/>
          <w:lang w:val="en-US" w:eastAsia="en-US" w:bidi="en-US"/>
        </w:rPr>
        <w:t xml:space="preserve"> Meanwhile, as the Babylonian schools decayed, Talmudic learning was assiduously pursued outside its oriental home, and some Babylonian Tal</w:t>
        <w:softHyphen/>
        <w:t xml:space="preserve">mudists apparently reached the West. However, the fortunes of the Talmud in a hostile world now become part of the history of the Jews, and the many interesting vicissitudes cannot be recapitulated here. (See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44 sqq.) To the use of the Pal. Talmud by the Qaraites in their controversies with the Rabbis we owe the preservation of this recension, incomplete though it is. To the intolerance of Christians are no doubt due the rarity of old MSS., and the impure state of the text of both </w:t>
      </w:r>
      <w:r>
        <w:rPr>
          <w:rFonts w:ascii="Times New Roman" w:eastAsia="Times New Roman" w:hAnsi="Times New Roman" w:cs="Times New Roman"/>
          <w:color w:val="000000"/>
          <w:spacing w:val="0"/>
          <w:w w:val="100"/>
          <w:position w:val="0"/>
          <w:shd w:val="clear" w:color="auto" w:fill="auto"/>
          <w:lang w:val="de-DE" w:eastAsia="de-DE" w:bidi="de-DE"/>
        </w:rPr>
        <w:t xml:space="preserve">Talmuds.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the polemics had useful results since the literary controversy in the 16th century (when Johann Reuchlin took the part of the Jews) led to the </w:t>
      </w:r>
      <w:r>
        <w:rPr>
          <w:rFonts w:ascii="Times New Roman" w:eastAsia="Times New Roman" w:hAnsi="Times New Roman" w:cs="Times New Roman"/>
          <w:i/>
          <w:iCs/>
          <w:color w:val="000000"/>
          <w:spacing w:val="0"/>
          <w:w w:val="100"/>
          <w:position w:val="0"/>
          <w:shd w:val="clear" w:color="auto" w:fill="auto"/>
          <w:lang w:val="en-US" w:eastAsia="en-US" w:bidi="en-US"/>
        </w:rPr>
        <w:t>editio princeps</w:t>
      </w:r>
      <w:r>
        <w:rPr>
          <w:rFonts w:ascii="Times New Roman" w:eastAsia="Times New Roman" w:hAnsi="Times New Roman" w:cs="Times New Roman"/>
          <w:color w:val="000000"/>
          <w:spacing w:val="0"/>
          <w:w w:val="100"/>
          <w:position w:val="0"/>
          <w:shd w:val="clear" w:color="auto" w:fill="auto"/>
          <w:lang w:val="en-US" w:eastAsia="en-US" w:bidi="en-US"/>
        </w:rPr>
        <w:t xml:space="preserve"> of the Babylonian Talmud (Vienna, 1520-23). A change shows itself in the second edition (Basel, 1578-81), when the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 Z</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(above, § 1. IV. 8) was omitted, and passages which offended the Christians were cancelled or modified.@@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Owing to the nature of its contents the Talmud stood sorely in need of aids and guides, and a vast amount of labour (of varying value) has been devoted to it by Jewish scholars. Of the many commentaries the first place must be given to that of R. Solomon Izhaki of Troyes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Rashi);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 knowledge of contemporary tradition and his valuable notes make it a new starting point in the interpretation of the Talmud. To Rashi's disciples are due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additions,” which, with the commentary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Commentator,” as he was styled, are often reproduced in printed editions of the Talmud. This school (France and Germany, 12th to 13th century) developed a casuistical and over-ingenious interpre</w:t>
        <w:softHyphen/>
        <w:t>tation—in contrast to the Spanish Talmudists who aimed at simpli</w:t>
        <w:softHyphen/>
        <w:t>fication and codification—and it drew upon it the saying of Nahmanides (13th cent.): “ They try to force an elephant through</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eye of a needle.” Important also are the introduction to and commentary upon the Mishnah by Maimonides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commentary of Rabbenu Obadiah di Bertinoro (died 1510). Both have often been printed; they were translated by Surenhusius (Amsterdam, 1698-1703).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 27-30.</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Systematic abstracts of the legal parts of the Talmud were made by Isaac Alfazi (or “ Riph,” 1013-1103), and by Maimonides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(Mishneh Torah,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otherwise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Sepher ha-Y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ha-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Ḥă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latter prepared a great summary of all Jewish religious and civil law, the standard work upon which Christian theologians from the 16th century onwards based their studies—and also their criticisms—of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Rabbinism. Jacob b. Asher b. Ye</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iel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Ṭūrī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rows ”) presented a well-arranged collection of those laws which had not become obsolete together with the addition of new ones. Most important of all, however, is Joseph Caro’s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Shul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ḥā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prepared table ”), which came in the age of printing (1565), leapt into popularity, and has been, in its turn, the subject of many commentaries and hand-books. This great work systematized Tal</w:t>
        <w:softHyphen/>
        <w:t xml:space="preserve">mudic law in all its developments, ancient and modern, written and oral (I. Abrahams,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Lit.,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1906, p. 147 seq. ;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584 sqq.). The lengthy history of the written and oral law thus reached its last stage in a work which grew out of the Talmud but had its roots in a more distant past. It was at the dawn of a period when the ancient codes which had been continu</w:t>
        <w:softHyphen/>
        <w:t>ously reinterpreted or readjusted were to be re-examined under the influence of newer ideas and methods of stud@@’</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haggadic portions of the Talmud were collected: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Bab. recension,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Haggadoth ha-Talmud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(Constantinople, 1511) and in Jacob ibn Habib’s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(eye, well of) Jacob (Salonika, 1516); and (ft) from the Pal., by Samuel Yapheh (Venice, 1589), and in the Yalküt Shimeoni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5, 9). These are superseded by the recent translations made by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Wünsche </w:t>
      </w:r>
      <w:r>
        <w:rPr>
          <w:rFonts w:ascii="Times New Roman" w:eastAsia="Times New Roman" w:hAnsi="Times New Roman" w:cs="Times New Roman"/>
          <w:color w:val="000000"/>
          <w:spacing w:val="0"/>
          <w:w w:val="100"/>
          <w:position w:val="0"/>
          <w:sz w:val="17"/>
          <w:szCs w:val="17"/>
          <w:shd w:val="clear" w:color="auto" w:fill="auto"/>
          <w:lang w:val="en-US" w:eastAsia="en-US" w:bidi="en-US"/>
        </w:rPr>
        <w:t>(Jer. T., Zürich, 1880; Bab. T., Leipzig, 1886-9).</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standard lexicon was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Ārūk</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Nathan b. Yelιiel of Rome (c. 1100) which underlies all subsequent works, notably the great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Aruch Completum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 Kohut (Vienna, 1878-1892; supple</w:t>
        <w:softHyphen/>
        <w:t xml:space="preserve">ment, New York, 1892); see further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580 seq. Modern dictionaries of the older Rabbinical writings have been made by J. Levy (Leipzig, 1876), Μ. Jastrow (London and New York, 1886), G. Dalman (Frankfort-on-Main, 1901). More technical is W. Bacher’s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Exeget.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Terminologie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jüd. Traditions-lit.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1905).</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grammatical aids are modern. For Mishnic Hebrew, see A. Geiger (Breslau, 1845), Strack and Siegfried (Leipzig, 1884), and Μ. H. Segal’s essay on the relation between Mishnic and Biblical Hebrew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Quart.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647-737); for Western Aramaic, especially G. Dalman,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Jüd. Pal. Aram.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1905); for Eastern Aram., S. D. Luzzatto (Eng. trans.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Goldammer,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1877), C. Levias (Cincinnati, 1900), Μ. L. Margolis (Munich, 1910), and also T. Nöldeke’s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ä</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ische Gramm.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(Halle, 1875).</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text of the Talmud has been badly preserved; much useful critical work has been done by R. Rabbinovicz,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Variæ Lectiones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(Munich, 1876-86) for the Bab. T., and by B. Ratner,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Ahavath Zion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Heb., Wilna,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1901-2) for the Jer. T. As regards translations (a subject critically handled by E. Bischoff, Frankfort-on-Main, 1899) and texts, few are satisfactory; some have already been mentioned in § 1 ; for a full list see Strack’s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Einleitung,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pp. 144-155. One may, however, mention the translations in English by D. A. de Sola and Μ. J. Raphall (18 Mishnic tractates; London 1843); J. Barclay (also a selection of 18; London, 1878), and the (abbreviated) edition of the Bab. Talm. with text and translation by Μ. L. Rodkinson (New York, 1869 sqq.). The Bab. text with a German translation has been edited by L. Goldschmidt (Berlin, 1897 sqq.). The Palest. Talm. has been translated into French by Μ. Schwab (Paris, 1871 sqq.).</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Features of Interest and Value.—</w:t>
      </w:r>
      <w:r>
        <w:rPr>
          <w:rFonts w:ascii="Times New Roman" w:eastAsia="Times New Roman" w:hAnsi="Times New Roman" w:cs="Times New Roman"/>
          <w:color w:val="000000"/>
          <w:spacing w:val="0"/>
          <w:w w:val="100"/>
          <w:position w:val="0"/>
          <w:shd w:val="clear" w:color="auto" w:fill="auto"/>
          <w:lang w:val="en-US" w:eastAsia="en-US" w:bidi="en-US"/>
        </w:rPr>
        <w:t>Although the Midrashim do not hold the authoritative position which the Talmud enjoys, the two groups cannot be kept apart in any consideration of the interesting or valuable features of the old Rabbinical writings. Viewed as a whole they have the characteristics of other Pales</w:t>
        <w:softHyphen/>
        <w:t>tinian literature, the merits and defects of other oriental works. As regards the Talmud, neither the Mishnah nor the subsequent Gemara aimed at presenting a digested corpus of law. It is really a large collection of opinions and views, a remarkably heterogeneous mixture of contents, for which the history of its growth is no doubt largely responsible. It appals the reader with its irregularity of treatment, its variations of style, and its abrupt transitions from the spiritual to the crude and trivial, and from superstition to the purest insight. Like the Koran it is often concise to obscurity and cannot be translated literally;</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Orders 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by Ugolinus,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xvii.-xx., recent ed. by Μ. 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Zuckermandel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(Pasewalk, 1880);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 207 sqq.</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the censorship and burning of the Talmud,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Jew. Ency., </w:t>
      </w:r>
      <w:r>
        <w:rPr>
          <w:rFonts w:ascii="Times New Roman" w:eastAsia="Times New Roman" w:hAnsi="Times New Roman" w:cs="Times New Roman"/>
          <w:color w:val="000000"/>
          <w:spacing w:val="0"/>
          <w:w w:val="100"/>
          <w:position w:val="0"/>
          <w:sz w:val="17"/>
          <w:szCs w:val="17"/>
          <w:shd w:val="clear" w:color="auto" w:fill="auto"/>
          <w:lang w:val="en-US" w:eastAsia="en-US" w:bidi="en-US"/>
        </w:rPr>
        <w:t>iii. 642 sqq., xii. 22; Strack, 71 seq., 78 sqq.</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is interesting to compare the development of Jewish law with that of the Mahommedan, Roman and English systems, the points of resemblance and difference being extremely suggestive for other studies. On the Jewish codifiers generally, see S. Daiches in L. Simon’s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Aspects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1910), pp. 87 sqq.</w:t>
      </w:r>
    </w:p>
    <w:p>
      <w:pPr>
        <w:widowControl w:val="0"/>
        <w:spacing w:line="1" w:lineRule="exact"/>
      </w:pPr>
    </w:p>
    <w:sectPr>
      <w:footnotePr>
        <w:pos w:val="pageBottom"/>
        <w:numFmt w:val="decimal"/>
        <w:numRestart w:val="continuous"/>
      </w:footnotePr>
      <w:type w:val="continuous"/>
      <w:pgSz w:w="12240" w:h="15840"/>
      <w:pgMar w:top="969" w:left="1238" w:right="932" w:bottom="9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