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others mostly belonging to the southern portion of the New World, now recognized by ornithologists as forming a distinct family </w:t>
      </w:r>
      <w:r>
        <w:rPr>
          <w:rFonts w:ascii="Times New Roman" w:eastAsia="Times New Roman" w:hAnsi="Times New Roman" w:cs="Times New Roman"/>
          <w:i/>
          <w:iCs/>
          <w:color w:val="000000"/>
          <w:spacing w:val="0"/>
          <w:w w:val="100"/>
          <w:position w:val="0"/>
          <w:shd w:val="clear" w:color="auto" w:fill="auto"/>
          <w:lang w:val="en-US" w:eastAsia="en-US" w:bidi="en-US"/>
        </w:rPr>
        <w:t>Tanagridae</w:t>
      </w:r>
      <w:r>
        <w:rPr>
          <w:rFonts w:ascii="Times New Roman" w:eastAsia="Times New Roman" w:hAnsi="Times New Roman" w:cs="Times New Roman"/>
          <w:color w:val="000000"/>
          <w:spacing w:val="0"/>
          <w:w w:val="100"/>
          <w:position w:val="0"/>
          <w:shd w:val="clear" w:color="auto" w:fill="auto"/>
          <w:lang w:val="en-US" w:eastAsia="en-US" w:bidi="en-US"/>
        </w:rPr>
        <w:t xml:space="preserve"> of the </w:t>
      </w:r>
      <w:r>
        <w:rPr>
          <w:rFonts w:ascii="Times New Roman" w:eastAsia="Times New Roman" w:hAnsi="Times New Roman" w:cs="Times New Roman"/>
          <w:i/>
          <w:iCs/>
          <w:color w:val="000000"/>
          <w:spacing w:val="0"/>
          <w:w w:val="100"/>
          <w:position w:val="0"/>
          <w:shd w:val="clear" w:color="auto" w:fill="auto"/>
          <w:lang w:val="en-US" w:eastAsia="en-US" w:bidi="en-US"/>
        </w:rPr>
        <w:t>Oscines</w:t>
      </w:r>
      <w:r>
        <w:rPr>
          <w:rFonts w:ascii="Times New Roman" w:eastAsia="Times New Roman" w:hAnsi="Times New Roman" w:cs="Times New Roman"/>
          <w:color w:val="000000"/>
          <w:spacing w:val="0"/>
          <w:w w:val="100"/>
          <w:position w:val="0"/>
          <w:shd w:val="clear" w:color="auto" w:fill="auto"/>
          <w:lang w:val="en-US" w:eastAsia="en-US" w:bidi="en-US"/>
        </w:rPr>
        <w:t xml:space="preserve"> division of Passerine birds allied to the </w:t>
      </w:r>
      <w:r>
        <w:rPr>
          <w:rFonts w:ascii="Times New Roman" w:eastAsia="Times New Roman" w:hAnsi="Times New Roman" w:cs="Times New Roman"/>
          <w:i/>
          <w:iCs/>
          <w:color w:val="000000"/>
          <w:spacing w:val="0"/>
          <w:w w:val="100"/>
          <w:position w:val="0"/>
          <w:shd w:val="clear" w:color="auto" w:fill="auto"/>
          <w:lang w:val="en-US" w:eastAsia="en-US" w:bidi="en-US"/>
        </w:rPr>
        <w:t>Fringillidae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Finch);</w:t>
      </w:r>
      <w:r>
        <w:rPr>
          <w:rFonts w:ascii="Times New Roman" w:eastAsia="Times New Roman" w:hAnsi="Times New Roman" w:cs="Times New Roman"/>
          <w:color w:val="000000"/>
          <w:spacing w:val="0"/>
          <w:w w:val="100"/>
          <w:position w:val="0"/>
          <w:shd w:val="clear" w:color="auto" w:fill="auto"/>
          <w:lang w:val="en-US" w:eastAsia="en-US" w:bidi="en-US"/>
        </w:rPr>
        <w:t xml:space="preserve"> and distinguished from them chiefly by their feebler conformation and more exposed nostrils. They are confined to the New World, and are specially characteristic of the tropical forests of Central and South America.</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tanagers have been examined systematically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 Sclatcr, and in the British Museum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Catalogue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 pp. 49-307) he admits the existence of 375 species, which he arranges in 59 genera, forming six subfamilies,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Procniatinae, Euphoniinae, Tanagrinae, Lamprotinae, Phoenicophilinae,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Pitylinae.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These are of very unequal extent, for, while the first of them consists of but a single species,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Procnias tersa—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position of which may be for several reasons still open to doubt—the third includes more than 200. Nearly all are birds of small size, the largest barely exceeding a song-thrush. Most of them are remarkable for their gaudy colouring, and this is especially the case in those forming the genus called by Sclater, as by most other authors,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Calliste,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term inadmissible through preoccupation, to which the name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Tanagra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right seems to belong, while that which he names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Tanagra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should probably be known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Thraupis.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whole family is almost confined to the Neotropical region, and there are several forms peculiar to the Antilles; but not a tenth of the species reach even southern Mexico, and not a dozen appear in the northern part of that country. Of the genus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Pyranga,</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has the most northern range of all, three if not four species are common summer immigrants to some part or other of the United States, an&lt;l two of them,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 rubra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 aestiva,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known as the scarlet tanager and the summer redbird, reach Canada and Bermuda.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 ae</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stiva</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has a western representative,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 cooperi,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by some authors is not recognized as a distinct species. The males of all these are clad in glowing red, P.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rubra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having, however, the wings and tail black. The remaining species,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 ludoviciana,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males of which are mostly yellow and black, with the head only red, does not appear eastward of the Missouri plains, and has not so northerly a range. Another species,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 hepatica,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has shown itself within the limits of the United States. In all these the females are plainly attired; but generally among the Tanagers, however bright may be their coloration, both sexes are nearly alike in plumage. Little has been recorded of the habits of the species of Central or South America, but those of the north have been as closely observed as the rather retiring nature of the birds renders possible, and it is known that insects, especially in the larval condition, and berries afford the greater part of their food. They have a pleasing song, and build a shallow nest, in which the eggs, generally three in number and of a greenish-blue marked with brown and purple, are laid. A few species are regularly but sparingly imported into Europe alive, and do well as cage birds.</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the whole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Tanagridae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may perhaps be considered to hold the same relation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Fringillidae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Icteridae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do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Sturnidae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Mnioiiltidae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Sylviinae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Turdinae,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each case the purely New-World Family being the “ feebler ” type.</w:t>
      </w:r>
    </w:p>
    <w:p>
      <w:pPr>
        <w:pStyle w:val="Style3"/>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TANAQUIL. </w:t>
      </w:r>
      <w:r>
        <w:rPr>
          <w:rFonts w:ascii="Times New Roman" w:eastAsia="Times New Roman" w:hAnsi="Times New Roman" w:cs="Times New Roman"/>
          <w:color w:val="000000"/>
          <w:spacing w:val="0"/>
          <w:w w:val="100"/>
          <w:position w:val="0"/>
          <w:shd w:val="clear" w:color="auto" w:fill="auto"/>
          <w:lang w:val="en-US" w:eastAsia="en-US" w:bidi="en-US"/>
        </w:rPr>
        <w:t>the Etruscan name of the wife of Tarquinius Priscus, or of one of his sons. After her immigration to Rome she is said to have received the name Gaia Caecilia. She was famous for her shrewdness and prophetic gifts, which enabled her to foretell the future greatness of her husband and of Servius Tullius. There was a statue of her as Gaia Caecilia in the temple of Sancus, which possessed magical powers. She was celebrated as a spinner of wool, and was supposed to exercise influence over Roman brides. Tanaquil and Gaia Caecilia are, however, really distinct personalities. The anecdotes told of Gaia Caecilia are aetiological myths intended to explain certain usages at Roman marriages.</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Livy, i. 34, 41; Pliny,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Nat. Hist.,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viii. 74, xxxvi. 70;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Schwegler,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Römische Geschichte,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bk. xv. </w:t>
      </w: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TANAUAN, </w:t>
      </w:r>
      <w:r>
        <w:rPr>
          <w:rFonts w:ascii="Times New Roman" w:eastAsia="Times New Roman" w:hAnsi="Times New Roman" w:cs="Times New Roman"/>
          <w:color w:val="000000"/>
          <w:spacing w:val="0"/>
          <w:w w:val="100"/>
          <w:position w:val="0"/>
          <w:shd w:val="clear" w:color="auto" w:fill="auto"/>
          <w:lang w:val="en-US" w:eastAsia="en-US" w:bidi="en-US"/>
        </w:rPr>
        <w:t>a town of the province of Batangas, Luzon, Philippine Islands, about 38 m. S.S.E. of Manila. Pop. (1903) 18,263. Tanauan is situated on a rolling upland plain. It formerly produced much sugar, but its inhabitants are now engaged chiefly in the cultivation of rice, Indian corn and fruit. Oranges and hogs are sent from Tanauan to the Manila market. The language is Tagalog.</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TANCRED </w:t>
      </w:r>
      <w:r>
        <w:rPr>
          <w:rFonts w:ascii="Times New Roman" w:eastAsia="Times New Roman" w:hAnsi="Times New Roman" w:cs="Times New Roman"/>
          <w:color w:val="000000"/>
          <w:spacing w:val="0"/>
          <w:w w:val="100"/>
          <w:position w:val="0"/>
          <w:shd w:val="clear" w:color="auto" w:fill="auto"/>
          <w:lang w:val="en-US" w:eastAsia="en-US" w:bidi="en-US"/>
        </w:rPr>
        <w:t xml:space="preserve">(d. 1112), nephew of Bohemund and a grandson of Robert Guiscard on the female side, was the son of a certain </w:t>
      </w:r>
      <w:r>
        <w:rPr>
          <w:rFonts w:ascii="Times New Roman" w:eastAsia="Times New Roman" w:hAnsi="Times New Roman" w:cs="Times New Roman"/>
          <w:i/>
          <w:iCs/>
          <w:color w:val="000000"/>
          <w:spacing w:val="0"/>
          <w:w w:val="100"/>
          <w:position w:val="0"/>
          <w:shd w:val="clear" w:color="auto" w:fill="auto"/>
          <w:lang w:val="en-US" w:eastAsia="en-US" w:bidi="en-US"/>
        </w:rPr>
        <w:t>Marchisus,</w:t>
      </w:r>
      <w:r>
        <w:rPr>
          <w:rFonts w:ascii="Times New Roman" w:eastAsia="Times New Roman" w:hAnsi="Times New Roman" w:cs="Times New Roman"/>
          <w:color w:val="000000"/>
          <w:spacing w:val="0"/>
          <w:w w:val="100"/>
          <w:position w:val="0"/>
          <w:shd w:val="clear" w:color="auto" w:fill="auto"/>
          <w:lang w:val="en-US" w:eastAsia="en-US" w:bidi="en-US"/>
        </w:rPr>
        <w:t xml:space="preserve"> in whom some have seen a marquis, and some an Arab (Makrizi). He took the Cross with Bohemund in 1096, and marched with him to Constantinople. Here he refused to take an oath to Alexius, escaping across the Bosphorus in </w:t>
      </w:r>
      <w:r>
        <w:rPr>
          <w:rFonts w:ascii="Times New Roman" w:eastAsia="Times New Roman" w:hAnsi="Times New Roman" w:cs="Times New Roman"/>
          <w:color w:val="000000"/>
          <w:spacing w:val="0"/>
          <w:w w:val="100"/>
          <w:position w:val="0"/>
          <w:shd w:val="clear" w:color="auto" w:fill="auto"/>
          <w:lang w:val="en-US" w:eastAsia="en-US" w:bidi="en-US"/>
        </w:rPr>
        <w:t xml:space="preserve">the disguise of a peasant; but after the capture of Nicaea he consented to follow the example of the other princes, and became the man of Alexius. At Heraclea, in the centre of Asia Minor, he left the main body of the Crusaders, and struck into Cilicia, closely followed by Baldwin of Lorraine. He may have been intending, in this expedition, to prepare a basis for Bohemund’s eastern principality; in any case, he made himself master of Tarsus, and when he was evicted from it by the superior forces of Baldwin, he pushed further onwards, and took the towns of Adana and Mamistra. He joined the main army before Antioch, and took a great part in the siege. When, in the spring of 1098, two castles were erected by the crusaders, it was Tancred who undertook the defence of the more exposed castle, which lay by St George’s Gate, on the west of the city. In the beginning of 1099 he was serving in the ranks of Raymund’s army, whether to observe his movements in the interests of Bohemund, or only (as is more probable) to be in the front of the fighting and the march to Jerusalem. But he soon left the count, like so many of the other pilgrims (see under </w:t>
      </w:r>
      <w:r>
        <w:rPr>
          <w:rFonts w:ascii="Times New Roman" w:eastAsia="Times New Roman" w:hAnsi="Times New Roman" w:cs="Times New Roman"/>
          <w:smallCaps/>
          <w:color w:val="000000"/>
          <w:spacing w:val="0"/>
          <w:w w:val="100"/>
          <w:position w:val="0"/>
          <w:shd w:val="clear" w:color="auto" w:fill="auto"/>
          <w:lang w:val="en-US" w:eastAsia="en-US" w:bidi="en-US"/>
        </w:rPr>
        <w:t>Ray</w:t>
        <w:softHyphen/>
        <w:t>mund);</w:t>
      </w:r>
      <w:r>
        <w:rPr>
          <w:rFonts w:ascii="Times New Roman" w:eastAsia="Times New Roman" w:hAnsi="Times New Roman" w:cs="Times New Roman"/>
          <w:color w:val="000000"/>
          <w:spacing w:val="0"/>
          <w:w w:val="100"/>
          <w:position w:val="0"/>
          <w:shd w:val="clear" w:color="auto" w:fill="auto"/>
          <w:lang w:val="en-US" w:eastAsia="en-US" w:bidi="en-US"/>
        </w:rPr>
        <w:t xml:space="preserve"> and he joined himself to Godfrey of Lorraine in the final march. In June 1099 he helped Baldwin de Burg (his future rival) in the capture of Bethlehem; and he played his part in the siege of Jerusalem, gaining much booty when the city was captured, and falling into a passion because the security he had given to the fugitives on the roof of Solomon’s temple was not observed by the crusaders. After the capture of Jerusalem he went to Naplous, and began to found a principality of his own. He took part in the battle of Ascalon in August; and after it he was invested by Godfrey with Tiberias and the principality of Galilee, to the north of Naplous. In 1100 he attempted, without success, to prevent Baldwin of Lorraine (his old enemy in Cilicia) from acquiring the throne of Jerusalem, possibly having ambitions himself, and in any case fearing the foundation of a strong non-Norman power in Palestine. Failing in this attempt, and being urgently summoned from the North to succeed Bohemund (now a prisoner with Danishmend) in the government of Antioch, he surrendered his smaller possessions to Baldwin, on condition that they should he restored if he returned in a year and three months, and finally left the kingdom of Jerusalem. He acted as regent in Antioch from 1100 to 1103, when Bohemund regained his liberty. During these years he succeeded in regaining the Cilician towns for Antioch (1101), and in recapturing Laodicea (1103); he imprisoned Raymund of Toulouse, and only gave him his liberty on stringent condi</w:t>
        <w:softHyphen/>
        <w:t xml:space="preserve">tions; and he caused the restoration of the deposed patriarch of Jerusalem, </w:t>
      </w:r>
      <w:r>
        <w:rPr>
          <w:rFonts w:ascii="Times New Roman" w:eastAsia="Times New Roman" w:hAnsi="Times New Roman" w:cs="Times New Roman"/>
          <w:color w:val="000000"/>
          <w:spacing w:val="0"/>
          <w:w w:val="100"/>
          <w:position w:val="0"/>
          <w:shd w:val="clear" w:color="auto" w:fill="auto"/>
          <w:lang w:val="de-DE" w:eastAsia="de-DE" w:bidi="de-DE"/>
        </w:rPr>
        <w:t xml:space="preserve">Dagobert, </w:t>
      </w:r>
      <w:r>
        <w:rPr>
          <w:rFonts w:ascii="Times New Roman" w:eastAsia="Times New Roman" w:hAnsi="Times New Roman" w:cs="Times New Roman"/>
          <w:color w:val="000000"/>
          <w:spacing w:val="0"/>
          <w:w w:val="100"/>
          <w:position w:val="0"/>
          <w:shd w:val="clear" w:color="auto" w:fill="auto"/>
          <w:lang w:val="en-US" w:eastAsia="en-US" w:bidi="en-US"/>
        </w:rPr>
        <w:t>if only for a brief season, by refusing to aid Baldwin I. on any other terms. When Bohemund was set free, Tancred had to surrender Antioch to him; but he soon found fresh work for his busy hands. In 1104 he joined with Bohemund and Baldwin de Burg (now count of Edessa in succession to Baldwin of Lorraine) in an expedition against Harran, in which they were heavily defeated, and Baldwin was taken prisoner. Tancred, however, profited doubly by the defeat. He took over the government of Edessa in Baldwin’s place; and in 1105 Bohemund surrendered to him the govern</w:t>
        <w:softHyphen/>
        <w:t>ment of Antioch, while he himself went to Europe to seek reinforcements. Ruler of the two northern principalities, Tancred carried on vigorous hostilities against his Mahommedan neighbours, especially Ridwan of Aleppo; and in 1106 he suc</w:t>
        <w:softHyphen/>
        <w:t>ceeded in capturing Apamea. In 1107, while Bohemund was beginning his last expedition against Alexius, he wrested the whole of Cilicia from the Greeks; and he steadfastly refused, after Bohemund’s humiliating treaty at Durazzo in 1108, to agree to any of its stipulations with regard to Antioch and Cilicia. To the hostility of the Mahommedans and the Greeks, Tancred also added that of his own fellow Latins- When Baldwin de Burg regained his liberty in 1108, it was only with difficulty that he was induced to restore Edessa to him, and the two continued unfriendly for some time; while in 1109 he also interfered in the civil war in Tripoli between the nephew and the eldest son of Raymund of Toulouse. But it was against the emirs of Northern Syria that his arms were chiefly directed;</w:t>
      </w:r>
    </w:p>
    <w:sectPr>
      <w:footnotePr>
        <w:pos w:val="pageBottom"/>
        <w:numFmt w:val="decimal"/>
        <w:numRestart w:val="continuous"/>
      </w:footnotePr>
      <w:pgSz w:w="12240" w:h="15840"/>
      <w:pgMar w:top="1190" w:left="930" w:right="8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