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TANKARD, </w:t>
      </w:r>
      <w:r>
        <w:rPr>
          <w:rFonts w:ascii="Times New Roman" w:eastAsia="Times New Roman" w:hAnsi="Times New Roman" w:cs="Times New Roman"/>
          <w:color w:val="000000"/>
          <w:spacing w:val="0"/>
          <w:w w:val="100"/>
          <w:position w:val="0"/>
          <w:shd w:val="clear" w:color="auto" w:fill="auto"/>
          <w:lang w:val="en-US" w:eastAsia="en-US" w:bidi="en-US"/>
        </w:rPr>
        <w:t xml:space="preserve">a type of drinking vessel. The word was formerly used loosely of many sizes, usually large, of vessels for holding liquids; thus it was applied to such as held two or more gallons and were used to carry waler from the conduits in London in the 16th and early 17th centuries. The word is now generally applied to a straight, flat-bottomed drinking vessel of silver, pewter or other metal, or of glass or pottery mounted on metal, with a hinged cover and handle, holding from a pint to a quart of liquor (see </w:t>
      </w:r>
      <w:r>
        <w:rPr>
          <w:rFonts w:ascii="Times New Roman" w:eastAsia="Times New Roman" w:hAnsi="Times New Roman" w:cs="Times New Roman"/>
          <w:smallCaps/>
          <w:color w:val="000000"/>
          <w:spacing w:val="0"/>
          <w:w w:val="100"/>
          <w:position w:val="0"/>
          <w:shd w:val="clear" w:color="auto" w:fill="auto"/>
          <w:lang w:val="en-US" w:eastAsia="en-US" w:bidi="en-US"/>
        </w:rPr>
        <w:t>Drinking Vessels).</w:t>
      </w:r>
      <w:r>
        <w:rPr>
          <w:rFonts w:ascii="Times New Roman" w:eastAsia="Times New Roman" w:hAnsi="Times New Roman" w:cs="Times New Roman"/>
          <w:color w:val="000000"/>
          <w:spacing w:val="0"/>
          <w:w w:val="100"/>
          <w:position w:val="0"/>
          <w:shd w:val="clear" w:color="auto" w:fill="auto"/>
          <w:lang w:val="en-US" w:eastAsia="en-US" w:bidi="en-US"/>
        </w:rPr>
        <w:t xml:space="preserve"> The derivation is obscure. It appears in O. Fr. as </w:t>
      </w:r>
      <w:r>
        <w:rPr>
          <w:rFonts w:ascii="Times New Roman" w:eastAsia="Times New Roman" w:hAnsi="Times New Roman" w:cs="Times New Roman"/>
          <w:i/>
          <w:iCs/>
          <w:color w:val="000000"/>
          <w:spacing w:val="0"/>
          <w:w w:val="100"/>
          <w:position w:val="0"/>
          <w:shd w:val="clear" w:color="auto" w:fill="auto"/>
          <w:lang w:val="en-US" w:eastAsia="en-US" w:bidi="en-US"/>
        </w:rPr>
        <w:t>tanquart</w:t>
      </w:r>
      <w:r>
        <w:rPr>
          <w:rFonts w:ascii="Times New Roman" w:eastAsia="Times New Roman" w:hAnsi="Times New Roman" w:cs="Times New Roman"/>
          <w:color w:val="000000"/>
          <w:spacing w:val="0"/>
          <w:w w:val="100"/>
          <w:position w:val="0"/>
          <w:shd w:val="clear" w:color="auto" w:fill="auto"/>
          <w:lang w:val="en-US" w:eastAsia="en-US" w:bidi="en-US"/>
        </w:rPr>
        <w:t xml:space="preserve"> and in O. Du. as </w:t>
      </w:r>
      <w:r>
        <w:rPr>
          <w:rFonts w:ascii="Times New Roman" w:eastAsia="Times New Roman" w:hAnsi="Times New Roman" w:cs="Times New Roman"/>
          <w:i/>
          <w:iCs/>
          <w:color w:val="000000"/>
          <w:spacing w:val="0"/>
          <w:w w:val="100"/>
          <w:position w:val="0"/>
          <w:shd w:val="clear" w:color="auto" w:fill="auto"/>
          <w:lang w:val="en-US" w:eastAsia="en-US" w:bidi="en-US"/>
        </w:rPr>
        <w:t>tanckaert.</w:t>
      </w:r>
      <w:r>
        <w:rPr>
          <w:rFonts w:ascii="Times New Roman" w:eastAsia="Times New Roman" w:hAnsi="Times New Roman" w:cs="Times New Roman"/>
          <w:color w:val="000000"/>
          <w:spacing w:val="0"/>
          <w:w w:val="100"/>
          <w:position w:val="0"/>
          <w:shd w:val="clear" w:color="auto" w:fill="auto"/>
          <w:lang w:val="en-US" w:eastAsia="en-US" w:bidi="en-US"/>
        </w:rPr>
        <w:t xml:space="preserve"> It may have been, as is suggested, metathesized from Gr.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κάνθαρος,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cantharus,</w:t>
      </w:r>
      <w:r>
        <w:rPr>
          <w:rFonts w:ascii="Times New Roman" w:eastAsia="Times New Roman" w:hAnsi="Times New Roman" w:cs="Times New Roman"/>
          <w:color w:val="000000"/>
          <w:spacing w:val="0"/>
          <w:w w:val="100"/>
          <w:position w:val="0"/>
          <w:shd w:val="clear" w:color="auto" w:fill="auto"/>
          <w:lang w:val="en-US" w:eastAsia="en-US" w:bidi="en-US"/>
        </w:rPr>
        <w:t xml:space="preserve"> a large vessel or pot. It is used to gloss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amphora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Promptorium Parvulorum</w:t>
      </w:r>
      <w:r>
        <w:rPr>
          <w:rFonts w:ascii="Times New Roman" w:eastAsia="Times New Roman" w:hAnsi="Times New Roman" w:cs="Times New Roman"/>
          <w:color w:val="000000"/>
          <w:spacing w:val="0"/>
          <w:w w:val="100"/>
          <w:position w:val="0"/>
          <w:shd w:val="clear" w:color="auto" w:fill="auto"/>
          <w:lang w:val="en-US" w:eastAsia="en-US" w:bidi="en-US"/>
        </w:rPr>
        <w:t xml:space="preserve"> (c. 1440). It is not connected with “ tank,” a cistern or reservoir for water, which was formerly “ stank,” and is from Port. </w:t>
      </w:r>
      <w:r>
        <w:rPr>
          <w:rFonts w:ascii="Times New Roman" w:eastAsia="Times New Roman" w:hAnsi="Times New Roman" w:cs="Times New Roman"/>
          <w:i/>
          <w:iCs/>
          <w:color w:val="000000"/>
          <w:spacing w:val="0"/>
          <w:w w:val="100"/>
          <w:position w:val="0"/>
          <w:shd w:val="clear" w:color="auto" w:fill="auto"/>
          <w:lang w:val="en-US" w:eastAsia="en-US" w:bidi="en-US"/>
        </w:rPr>
        <w:t>tanque,</w:t>
      </w:r>
      <w:r>
        <w:rPr>
          <w:rFonts w:ascii="Times New Roman" w:eastAsia="Times New Roman" w:hAnsi="Times New Roman" w:cs="Times New Roman"/>
          <w:color w:val="000000"/>
          <w:spacing w:val="0"/>
          <w:w w:val="100"/>
          <w:position w:val="0"/>
          <w:shd w:val="clear" w:color="auto" w:fill="auto"/>
          <w:lang w:val="en-US" w:eastAsia="en-US" w:bidi="en-US"/>
        </w:rPr>
        <w:t xml:space="preserve"> O. Fr. </w:t>
      </w:r>
      <w:r>
        <w:rPr>
          <w:rFonts w:ascii="Times New Roman" w:eastAsia="Times New Roman" w:hAnsi="Times New Roman" w:cs="Times New Roman"/>
          <w:i/>
          <w:iCs/>
          <w:color w:val="000000"/>
          <w:spacing w:val="0"/>
          <w:w w:val="100"/>
          <w:position w:val="0"/>
          <w:shd w:val="clear" w:color="auto" w:fill="auto"/>
          <w:lang w:val="en-US" w:eastAsia="en-US" w:bidi="en-US"/>
        </w:rPr>
        <w:t>estang,</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étang, </w:t>
      </w:r>
      <w:r>
        <w:rPr>
          <w:rFonts w:ascii="Times New Roman" w:eastAsia="Times New Roman" w:hAnsi="Times New Roman" w:cs="Times New Roman"/>
          <w:color w:val="000000"/>
          <w:spacing w:val="0"/>
          <w:w w:val="100"/>
          <w:position w:val="0"/>
          <w:shd w:val="clear" w:color="auto" w:fill="auto"/>
          <w:lang w:val="en-US" w:eastAsia="en-US" w:bidi="en-US"/>
        </w:rPr>
        <w:t xml:space="preserve">pool; Lat. </w:t>
      </w:r>
      <w:r>
        <w:rPr>
          <w:rFonts w:ascii="Times New Roman" w:eastAsia="Times New Roman" w:hAnsi="Times New Roman" w:cs="Times New Roman"/>
          <w:i/>
          <w:iCs/>
          <w:color w:val="000000"/>
          <w:spacing w:val="0"/>
          <w:w w:val="100"/>
          <w:position w:val="0"/>
          <w:shd w:val="clear" w:color="auto" w:fill="auto"/>
          <w:lang w:val="en-US" w:eastAsia="en-US" w:bidi="en-US"/>
        </w:rPr>
        <w:t>stagnum,</w:t>
      </w:r>
      <w:r>
        <w:rPr>
          <w:rFonts w:ascii="Times New Roman" w:eastAsia="Times New Roman" w:hAnsi="Times New Roman" w:cs="Times New Roman"/>
          <w:color w:val="000000"/>
          <w:spacing w:val="0"/>
          <w:w w:val="100"/>
          <w:position w:val="0"/>
          <w:shd w:val="clear" w:color="auto" w:fill="auto"/>
          <w:lang w:val="en-US" w:eastAsia="en-US" w:bidi="en-US"/>
        </w:rPr>
        <w:t xml:space="preserve"> whence Eng. “ stagnant.”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TANNA </w:t>
      </w:r>
      <w:r>
        <w:rPr>
          <w:rFonts w:ascii="Times New Roman" w:eastAsia="Times New Roman" w:hAnsi="Times New Roman" w:cs="Times New Roman"/>
          <w:color w:val="000000"/>
          <w:spacing w:val="0"/>
          <w:w w:val="100"/>
          <w:position w:val="0"/>
          <w:shd w:val="clear" w:color="auto" w:fill="auto"/>
          <w:lang w:val="en-US" w:eastAsia="en-US" w:bidi="en-US"/>
        </w:rPr>
        <w:t xml:space="preserve">(Aramaic, “ teacher ”). The root </w:t>
      </w:r>
      <w:r>
        <w:rPr>
          <w:rFonts w:ascii="Times New Roman" w:eastAsia="Times New Roman" w:hAnsi="Times New Roman" w:cs="Times New Roman"/>
          <w:i/>
          <w:iCs/>
          <w:color w:val="000000"/>
          <w:spacing w:val="0"/>
          <w:w w:val="100"/>
          <w:position w:val="0"/>
          <w:shd w:val="clear" w:color="auto" w:fill="auto"/>
          <w:lang w:val="en-US" w:eastAsia="en-US" w:bidi="en-US"/>
        </w:rPr>
        <w:t>teni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tena</w:t>
      </w:r>
      <w:r>
        <w:rPr>
          <w:rFonts w:ascii="Times New Roman" w:eastAsia="Times New Roman" w:hAnsi="Times New Roman" w:cs="Times New Roman"/>
          <w:color w:val="000000"/>
          <w:spacing w:val="0"/>
          <w:w w:val="100"/>
          <w:position w:val="0"/>
          <w:shd w:val="clear" w:color="auto" w:fill="auto"/>
          <w:lang w:val="en-US" w:eastAsia="en-US" w:bidi="en-US"/>
        </w:rPr>
        <w:t xml:space="preserve"> cor</w:t>
        <w:softHyphen/>
        <w:t xml:space="preserve">responds philologically to the Hebrew </w:t>
      </w:r>
      <w:r>
        <w:rPr>
          <w:rFonts w:ascii="Times New Roman" w:eastAsia="Times New Roman" w:hAnsi="Times New Roman" w:cs="Times New Roman"/>
          <w:i/>
          <w:iCs/>
          <w:color w:val="000000"/>
          <w:spacing w:val="0"/>
          <w:w w:val="100"/>
          <w:position w:val="0"/>
          <w:shd w:val="clear" w:color="auto" w:fill="auto"/>
          <w:lang w:val="en-US" w:eastAsia="en-US" w:bidi="en-US"/>
        </w:rPr>
        <w:t>shana,</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comes the word </w:t>
      </w:r>
      <w:r>
        <w:rPr>
          <w:rFonts w:ascii="Times New Roman" w:eastAsia="Times New Roman" w:hAnsi="Times New Roman" w:cs="Times New Roman"/>
          <w:i/>
          <w:iCs/>
          <w:color w:val="000000"/>
          <w:spacing w:val="0"/>
          <w:w w:val="100"/>
          <w:position w:val="0"/>
          <w:shd w:val="clear" w:color="auto" w:fill="auto"/>
          <w:lang w:val="en-US" w:eastAsia="en-US" w:bidi="en-US"/>
        </w:rPr>
        <w:t>Mishnah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Midrash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Talmud),</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Rabbinic code which (with certain parts of the Midrash and other Rabbinic books) was the main literary product of the activity of the </w:t>
      </w:r>
      <w:r>
        <w:rPr>
          <w:rFonts w:ascii="Times New Roman" w:eastAsia="Times New Roman" w:hAnsi="Times New Roman" w:cs="Times New Roman"/>
          <w:i/>
          <w:iCs/>
          <w:color w:val="000000"/>
          <w:spacing w:val="0"/>
          <w:w w:val="100"/>
          <w:position w:val="0"/>
          <w:shd w:val="clear" w:color="auto" w:fill="auto"/>
          <w:lang w:val="en-US" w:eastAsia="en-US" w:bidi="en-US"/>
        </w:rPr>
        <w:t>tannaim</w:t>
      </w:r>
      <w:r>
        <w:rPr>
          <w:rFonts w:ascii="Times New Roman" w:eastAsia="Times New Roman" w:hAnsi="Times New Roman" w:cs="Times New Roman"/>
          <w:color w:val="000000"/>
          <w:spacing w:val="0"/>
          <w:w w:val="100"/>
          <w:position w:val="0"/>
          <w:shd w:val="clear" w:color="auto" w:fill="auto"/>
          <w:lang w:val="en-US" w:eastAsia="en-US" w:bidi="en-US"/>
        </w:rPr>
        <w:t xml:space="preserve"> (plural of </w:t>
      </w:r>
      <w:r>
        <w:rPr>
          <w:rFonts w:ascii="Times New Roman" w:eastAsia="Times New Roman" w:hAnsi="Times New Roman" w:cs="Times New Roman"/>
          <w:i/>
          <w:iCs/>
          <w:color w:val="000000"/>
          <w:spacing w:val="0"/>
          <w:w w:val="100"/>
          <w:position w:val="0"/>
          <w:shd w:val="clear" w:color="auto" w:fill="auto"/>
          <w:lang w:val="fr-FR" w:eastAsia="fr-FR" w:bidi="fr-FR"/>
        </w:rPr>
        <w:t>tanna).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fr-FR" w:eastAsia="fr-FR" w:bidi="fr-FR"/>
        </w:rPr>
        <w:t>tanna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used in the Talmud of those teachers who flourished in the first two centuries of the Christian era. The </w:t>
      </w:r>
      <w:r>
        <w:rPr>
          <w:rFonts w:ascii="Times New Roman" w:eastAsia="Times New Roman" w:hAnsi="Times New Roman" w:cs="Times New Roman"/>
          <w:i/>
          <w:iCs/>
          <w:color w:val="000000"/>
          <w:spacing w:val="0"/>
          <w:w w:val="100"/>
          <w:position w:val="0"/>
          <w:shd w:val="clear" w:color="auto" w:fill="auto"/>
          <w:lang w:val="en-US" w:eastAsia="en-US" w:bidi="en-US"/>
        </w:rPr>
        <w:t>tannaim</w:t>
      </w:r>
      <w:r>
        <w:rPr>
          <w:rFonts w:ascii="Times New Roman" w:eastAsia="Times New Roman" w:hAnsi="Times New Roman" w:cs="Times New Roman"/>
          <w:color w:val="000000"/>
          <w:spacing w:val="0"/>
          <w:w w:val="100"/>
          <w:position w:val="0"/>
          <w:shd w:val="clear" w:color="auto" w:fill="auto"/>
          <w:lang w:val="en-US" w:eastAsia="en-US" w:bidi="en-US"/>
        </w:rPr>
        <w:t xml:space="preserve"> from the date of the destruction of the Temple may be grouped: (1) 70-100, representative name Johanan ben Zaqqai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(2) 100-130, representative name Aq</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ba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(3) 130-160, representative name Judah the Prince, compiler of the </w:t>
      </w:r>
      <w:r>
        <w:rPr>
          <w:rFonts w:ascii="Times New Roman" w:eastAsia="Times New Roman" w:hAnsi="Times New Roman" w:cs="Times New Roman"/>
          <w:i/>
          <w:iCs/>
          <w:color w:val="000000"/>
          <w:spacing w:val="0"/>
          <w:w w:val="100"/>
          <w:position w:val="0"/>
          <w:shd w:val="clear" w:color="auto" w:fill="auto"/>
          <w:lang w:val="en-US" w:eastAsia="en-US" w:bidi="en-US"/>
        </w:rPr>
        <w:t>Mishnah.</w:t>
      </w:r>
      <w:r>
        <w:rPr>
          <w:rFonts w:ascii="Times New Roman" w:eastAsia="Times New Roman" w:hAnsi="Times New Roman" w:cs="Times New Roman"/>
          <w:color w:val="000000"/>
          <w:spacing w:val="0"/>
          <w:w w:val="100"/>
          <w:position w:val="0"/>
          <w:shd w:val="clear" w:color="auto" w:fill="auto"/>
          <w:lang w:val="en-US" w:eastAsia="en-US" w:bidi="en-US"/>
        </w:rPr>
        <w:t xml:space="preserve"> The suc</w:t>
        <w:softHyphen/>
        <w:t xml:space="preserve">cessors of the </w:t>
      </w:r>
      <w:r>
        <w:rPr>
          <w:rFonts w:ascii="Times New Roman" w:eastAsia="Times New Roman" w:hAnsi="Times New Roman" w:cs="Times New Roman"/>
          <w:i/>
          <w:iCs/>
          <w:color w:val="000000"/>
          <w:spacing w:val="0"/>
          <w:w w:val="100"/>
          <w:position w:val="0"/>
          <w:shd w:val="clear" w:color="auto" w:fill="auto"/>
          <w:lang w:val="en-US" w:eastAsia="en-US" w:bidi="en-US"/>
        </w:rPr>
        <w:t>tannaim</w:t>
      </w:r>
      <w:r>
        <w:rPr>
          <w:rFonts w:ascii="Times New Roman" w:eastAsia="Times New Roman" w:hAnsi="Times New Roman" w:cs="Times New Roman"/>
          <w:color w:val="000000"/>
          <w:spacing w:val="0"/>
          <w:w w:val="100"/>
          <w:position w:val="0"/>
          <w:shd w:val="clear" w:color="auto" w:fill="auto"/>
          <w:lang w:val="en-US" w:eastAsia="en-US" w:bidi="en-US"/>
        </w:rPr>
        <w:t xml:space="preserve"> were called </w:t>
      </w:r>
      <w:r>
        <w:rPr>
          <w:rFonts w:ascii="Times New Roman" w:eastAsia="Times New Roman" w:hAnsi="Times New Roman" w:cs="Times New Roman"/>
          <w:i/>
          <w:iCs/>
          <w:color w:val="000000"/>
          <w:spacing w:val="0"/>
          <w:w w:val="100"/>
          <w:position w:val="0"/>
          <w:shd w:val="clear" w:color="auto" w:fill="auto"/>
          <w:lang w:val="en-US" w:eastAsia="en-US" w:bidi="en-US"/>
        </w:rPr>
        <w:t>’amoraim</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Amora).</w:t>
      </w:r>
    </w:p>
    <w:p>
      <w:pPr>
        <w:pStyle w:val="Style3"/>
        <w:keepNext w:val="0"/>
        <w:keepLines w:val="0"/>
        <w:widowControl w:val="0"/>
        <w:shd w:val="clear" w:color="auto" w:fill="auto"/>
        <w:tabs>
          <w:tab w:pos="4260" w:val="left"/>
        </w:tabs>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Bacher,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Agada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Tannai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alphabetical list of tannaim and 'amoraim is given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Jewish Encyclopedia,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 49-54∙</w:t>
        <w:tab/>
        <w:t>(I.A.)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TANNAHILL, ROBERT </w:t>
      </w:r>
      <w:r>
        <w:rPr>
          <w:rFonts w:ascii="Times New Roman" w:eastAsia="Times New Roman" w:hAnsi="Times New Roman" w:cs="Times New Roman"/>
          <w:color w:val="000000"/>
          <w:spacing w:val="0"/>
          <w:w w:val="100"/>
          <w:position w:val="0"/>
          <w:shd w:val="clear" w:color="auto" w:fill="auto"/>
          <w:lang w:val="en-US" w:eastAsia="en-US" w:bidi="en-US"/>
        </w:rPr>
        <w:t>(1774-1810), Scottish song-writer, son of a Paisley silk-weaver, was born on the 3rd of June 1774. He was apprenticed to his father’s trade at the age of twelve, and, inspired by the poetry of Robert Burns, he wrote verses as he drove the shuttle to and fro, with shelf and ink-bottle rigged up on his loom-post. He was shy and reserved, of small and delicate physique, and took little part in the social life of the town. The steady routine of his trade was broken only by occasional excursions to Glasgow and the land of Burns, and a year’s trial of work at Bolton. He began in 1805 to contribute verses to Glasgow and Paisley periodicals, and published an edition of his poems by subscription in 1807. Three years later, on the 17th of May 1810, the life of the quiet, gentle, diffident and despondent poet was brought by his own act to a tragic end. Tannahill’s claims to remembrance rest upon half a dozen songs, full of an exquisite feeling for nature, and so happily set to music that they have retained their popularity. “ Loudon’s Bonnie Woods and Braes,” “ Jessie, the Flower o’ Dunblane,” and “ Gloomy Winter’s Noo Awa ” are the best of them. “ Jessie, the Flower o’ Dunblane ” and “ The Farewell ” tell the story of the poet’s own unhappy love for Janet Tennant.</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Tannahill’s centenary was celebrated at Paisley in 1874. Sec edition by D. Semple (1876) for details of his life.</w:t>
      </w:r>
    </w:p>
    <w:p>
      <w:pPr>
        <w:pStyle w:val="Style3"/>
        <w:keepNext w:val="0"/>
        <w:keepLines w:val="0"/>
        <w:widowControl w:val="0"/>
        <w:shd w:val="clear" w:color="auto" w:fill="auto"/>
        <w:tabs>
          <w:tab w:pos="3417" w:val="left"/>
        </w:tabs>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TANNER, HENRY OSSAWA </w:t>
      </w:r>
      <w:r>
        <w:rPr>
          <w:rFonts w:ascii="Times New Roman" w:eastAsia="Times New Roman" w:hAnsi="Times New Roman" w:cs="Times New Roman"/>
          <w:color w:val="000000"/>
          <w:spacing w:val="0"/>
          <w:w w:val="100"/>
          <w:position w:val="0"/>
          <w:shd w:val="clear" w:color="auto" w:fill="auto"/>
          <w:lang w:val="en-US" w:eastAsia="en-US" w:bidi="en-US"/>
        </w:rPr>
        <w:t>(1859-</w:t>
        <w:tab/>
        <w:t>), American artist,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negro descent, was born at Pittsburg, Pennsylvania, on the 21st of June 1859. He was the son of Benjamin Tucker Tanner (b. 1835), who became bishop of the African Methodist Episcopal Church in 1888, edited the </w:t>
      </w:r>
      <w:r>
        <w:rPr>
          <w:rFonts w:ascii="Times New Roman" w:eastAsia="Times New Roman" w:hAnsi="Times New Roman" w:cs="Times New Roman"/>
          <w:i/>
          <w:iCs/>
          <w:color w:val="000000"/>
          <w:spacing w:val="0"/>
          <w:w w:val="100"/>
          <w:position w:val="0"/>
          <w:shd w:val="clear" w:color="auto" w:fill="auto"/>
          <w:lang w:val="en-US" w:eastAsia="en-US" w:bidi="en-US"/>
        </w:rPr>
        <w:t>Christian Recorder,</w:t>
      </w:r>
      <w:r>
        <w:rPr>
          <w:rFonts w:ascii="Times New Roman" w:eastAsia="Times New Roman" w:hAnsi="Times New Roman" w:cs="Times New Roman"/>
          <w:color w:val="000000"/>
          <w:spacing w:val="0"/>
          <w:w w:val="100"/>
          <w:position w:val="0"/>
          <w:shd w:val="clear" w:color="auto" w:fill="auto"/>
          <w:lang w:val="en-US" w:eastAsia="en-US" w:bidi="en-US"/>
        </w:rPr>
        <w:t xml:space="preserve"> the organ of his church, from 1867 to 1883, founded, and from 1884 to 1888 edited, the </w:t>
      </w:r>
      <w:r>
        <w:rPr>
          <w:rFonts w:ascii="Times New Roman" w:eastAsia="Times New Roman" w:hAnsi="Times New Roman" w:cs="Times New Roman"/>
          <w:i/>
          <w:iCs/>
          <w:color w:val="000000"/>
          <w:spacing w:val="0"/>
          <w:w w:val="100"/>
          <w:position w:val="0"/>
          <w:shd w:val="clear" w:color="auto" w:fill="auto"/>
          <w:lang w:val="en-US" w:eastAsia="en-US" w:bidi="en-US"/>
        </w:rPr>
        <w:t>African Methodist Episcopal Church Review,</w:t>
      </w:r>
      <w:r>
        <w:rPr>
          <w:rFonts w:ascii="Times New Roman" w:eastAsia="Times New Roman" w:hAnsi="Times New Roman" w:cs="Times New Roman"/>
          <w:color w:val="000000"/>
          <w:spacing w:val="0"/>
          <w:w w:val="100"/>
          <w:position w:val="0"/>
          <w:shd w:val="clear" w:color="auto" w:fill="auto"/>
          <w:lang w:val="en-US" w:eastAsia="en-US" w:bidi="en-US"/>
        </w:rPr>
        <w:t xml:space="preserve"> and published several pamphlets, poems and hymns, and an </w:t>
      </w:r>
      <w:r>
        <w:rPr>
          <w:rFonts w:ascii="Times New Roman" w:eastAsia="Times New Roman" w:hAnsi="Times New Roman" w:cs="Times New Roman"/>
          <w:i/>
          <w:iCs/>
          <w:color w:val="000000"/>
          <w:spacing w:val="0"/>
          <w:w w:val="100"/>
          <w:position w:val="0"/>
          <w:shd w:val="clear" w:color="auto" w:fill="auto"/>
          <w:lang w:val="en-US" w:eastAsia="en-US" w:bidi="en-US"/>
        </w:rPr>
        <w:t>Apology for African Methodism</w:t>
      </w:r>
      <w:r>
        <w:rPr>
          <w:rFonts w:ascii="Times New Roman" w:eastAsia="Times New Roman" w:hAnsi="Times New Roman" w:cs="Times New Roman"/>
          <w:color w:val="000000"/>
          <w:spacing w:val="0"/>
          <w:w w:val="100"/>
          <w:position w:val="0"/>
          <w:shd w:val="clear" w:color="auto" w:fill="auto"/>
          <w:lang w:val="en-US" w:eastAsia="en-US" w:bidi="en-US"/>
        </w:rPr>
        <w:t xml:space="preserve"> (1867). The son was a pupil of Thomas Eakins, in Philadelphia, and of J. P. Laurens and Benjamin Constant in Paris. He first exhibited at the Salon in 1895. His “ Daniel in the Lions’ Den ” received an honourable mention at the Salon of 1896. “ The Raising of Lazarus,” which received a third-class medal in 1897, was purchased by the French govern</w:t>
        <w:softHyphen/>
        <w:t xml:space="preserve">ment for the permanent collection of the Luxembourg. Other pictures are, “The Annunciation” (Salon, 1898), “Nicodemus </w:t>
      </w:r>
      <w:r>
        <w:rPr>
          <w:rFonts w:ascii="Times New Roman" w:eastAsia="Times New Roman" w:hAnsi="Times New Roman" w:cs="Times New Roman"/>
          <w:color w:val="000000"/>
          <w:spacing w:val="0"/>
          <w:w w:val="100"/>
          <w:position w:val="0"/>
          <w:shd w:val="clear" w:color="auto" w:fill="auto"/>
          <w:lang w:val="en-US" w:eastAsia="en-US" w:bidi="en-US"/>
        </w:rPr>
        <w:t>Coming to Christ ” (1899), “ The Jews’ Wailing Place,” and “ Christ in the Temple.”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TANNER, THOMAS </w:t>
      </w:r>
      <w:r>
        <w:rPr>
          <w:rFonts w:ascii="Times New Roman" w:eastAsia="Times New Roman" w:hAnsi="Times New Roman" w:cs="Times New Roman"/>
          <w:color w:val="000000"/>
          <w:spacing w:val="0"/>
          <w:w w:val="100"/>
          <w:position w:val="0"/>
          <w:shd w:val="clear" w:color="auto" w:fill="auto"/>
          <w:lang w:val="en-US" w:eastAsia="en-US" w:bidi="en-US"/>
        </w:rPr>
        <w:t>(1674-1735), English antiquary and pre</w:t>
        <w:softHyphen/>
        <w:t>late, was born at Market Lavington in Wiltshire on the 25th of January 1674, and was educated at Queen’s College, Oxford, taking holy orders in 1694. Next year he became chaplain and then fellow of AU Souls CoUege, and a few years later private chaplain to John Moore (1646-1714), bishop of Norwich and afterwards of Ely, who appointed him chancellor of the diocese of Norwich. In 1706 he became rector of Thorpe, near Norwich, in 1713 a canon of Ely, in 1724 a canon of Christ Church, Oxford, and in 1732 bishop of St Asaph. He died in Oxford, where he had passed most of his life, on the 14th of December 1735.</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Tanner's chief work is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Notitia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Monastica,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short account of all the religious houses in England and Wales. This was pub</w:t>
        <w:softHyphen/>
        <w:t xml:space="preserve">lished at Oxford in 1695; it was reprinted with additions by the author’s brother, John Tanner, in 1744; and was reprinted again with further additions by James Nasmith (1740-1808) in 1787. He also wrote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Bibliotheca Britannico-Hibernica,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dictionary of all the authors who flourished in England, Scotland and Ireland before the opening of the 17th century, at which he laboured for forty years. This was not published until 1748, thirteen years after the author's death. The bishop collected materials for a history of Wiltshire and worked for some time on a new edition of the works of John Leland. His valuable collection of books and manuscripts is in the Bodleian library at Oxford.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writer of this name was </w:t>
      </w:r>
      <w:r>
        <w:rPr>
          <w:rFonts w:ascii="Times New Roman" w:eastAsia="Times New Roman" w:hAnsi="Times New Roman" w:cs="Times New Roman"/>
          <w:smallCaps/>
          <w:color w:val="000000"/>
          <w:spacing w:val="0"/>
          <w:w w:val="100"/>
          <w:position w:val="0"/>
          <w:shd w:val="clear" w:color="auto" w:fill="auto"/>
          <w:lang w:val="en-US" w:eastAsia="en-US" w:bidi="en-US"/>
        </w:rPr>
        <w:t>Thomas Tanner</w:t>
      </w:r>
      <w:r>
        <w:rPr>
          <w:rFonts w:ascii="Times New Roman" w:eastAsia="Times New Roman" w:hAnsi="Times New Roman" w:cs="Times New Roman"/>
          <w:color w:val="000000"/>
          <w:spacing w:val="0"/>
          <w:w w:val="100"/>
          <w:position w:val="0"/>
          <w:shd w:val="clear" w:color="auto" w:fill="auto"/>
          <w:lang w:val="en-US" w:eastAsia="en-US" w:bidi="en-US"/>
        </w:rPr>
        <w:t xml:space="preserve"> (1630-1682), the author of </w:t>
      </w:r>
      <w:r>
        <w:rPr>
          <w:rFonts w:ascii="Times New Roman" w:eastAsia="Times New Roman" w:hAnsi="Times New Roman" w:cs="Times New Roman"/>
          <w:i/>
          <w:iCs/>
          <w:color w:val="000000"/>
          <w:spacing w:val="0"/>
          <w:w w:val="100"/>
          <w:position w:val="0"/>
          <w:shd w:val="clear" w:color="auto" w:fill="auto"/>
          <w:lang w:val="en-US" w:eastAsia="en-US" w:bidi="en-US"/>
        </w:rPr>
        <w:t>The Entrance of Mazzarini</w:t>
      </w:r>
      <w:r>
        <w:rPr>
          <w:rFonts w:ascii="Times New Roman" w:eastAsia="Times New Roman" w:hAnsi="Times New Roman" w:cs="Times New Roman"/>
          <w:color w:val="000000"/>
          <w:spacing w:val="0"/>
          <w:w w:val="100"/>
          <w:position w:val="0"/>
          <w:shd w:val="clear" w:color="auto" w:fill="auto"/>
          <w:lang w:val="en-US" w:eastAsia="en-US" w:bidi="en-US"/>
        </w:rPr>
        <w:t xml:space="preserve"> (Oxford, 1657-58). Educated at St Paul’s School, London, and at Pembroke Hall, Cambridge, he became a barrister and later a clergyman, being vicar of Colyton, Devon, and afterwards of Winchfield, Hants.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TANNHÄUSER,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TanhuSer,</w:t>
      </w:r>
      <w:r>
        <w:rPr>
          <w:rFonts w:ascii="Times New Roman" w:eastAsia="Times New Roman" w:hAnsi="Times New Roman" w:cs="Times New Roman"/>
          <w:color w:val="000000"/>
          <w:spacing w:val="0"/>
          <w:w w:val="100"/>
          <w:position w:val="0"/>
          <w:shd w:val="clear" w:color="auto" w:fill="auto"/>
          <w:lang w:val="en-US" w:eastAsia="en-US" w:bidi="en-US"/>
        </w:rPr>
        <w:t xml:space="preserve"> German Minnesinger of the 13th century, who lived for a time at the court of Frederick II., duke of Austria. After Duke Frederick’s death he was received at the court of </w:t>
      </w:r>
      <w:r>
        <w:rPr>
          <w:rFonts w:ascii="Times New Roman" w:eastAsia="Times New Roman" w:hAnsi="Times New Roman" w:cs="Times New Roman"/>
          <w:color w:val="000000"/>
          <w:spacing w:val="0"/>
          <w:w w:val="100"/>
          <w:position w:val="0"/>
          <w:shd w:val="clear" w:color="auto" w:fill="auto"/>
          <w:lang w:val="de-DE" w:eastAsia="de-DE" w:bidi="de-DE"/>
        </w:rPr>
        <w:t xml:space="preserve">Otto </w:t>
      </w:r>
      <w:r>
        <w:rPr>
          <w:rFonts w:ascii="Times New Roman" w:eastAsia="Times New Roman" w:hAnsi="Times New Roman" w:cs="Times New Roman"/>
          <w:color w:val="000000"/>
          <w:spacing w:val="0"/>
          <w:w w:val="100"/>
          <w:position w:val="0"/>
          <w:shd w:val="clear" w:color="auto" w:fill="auto"/>
          <w:lang w:val="en-US" w:eastAsia="en-US" w:bidi="en-US"/>
        </w:rPr>
        <w:t xml:space="preserve">II., duke of Bavaria; but, being of a restless disposition, and having wasted his fortune, he spent much time in wandering about Germany. He also went as a Crusader to the Holy Land. His poems belong to the decadence of the </w:t>
      </w:r>
      <w:r>
        <w:rPr>
          <w:rFonts w:ascii="Times New Roman" w:eastAsia="Times New Roman" w:hAnsi="Times New Roman" w:cs="Times New Roman"/>
          <w:color w:val="000000"/>
          <w:spacing w:val="0"/>
          <w:w w:val="100"/>
          <w:position w:val="0"/>
          <w:shd w:val="clear" w:color="auto" w:fill="auto"/>
          <w:lang w:val="de-DE" w:eastAsia="de-DE" w:bidi="de-DE"/>
        </w:rPr>
        <w:t xml:space="preserve">Minnesang, </w:t>
      </w:r>
      <w:r>
        <w:rPr>
          <w:rFonts w:ascii="Times New Roman" w:eastAsia="Times New Roman" w:hAnsi="Times New Roman" w:cs="Times New Roman"/>
          <w:color w:val="000000"/>
          <w:spacing w:val="0"/>
          <w:w w:val="100"/>
          <w:position w:val="0"/>
          <w:shd w:val="clear" w:color="auto" w:fill="auto"/>
          <w:lang w:val="en-US" w:eastAsia="en-US" w:bidi="en-US"/>
        </w:rPr>
        <w:t>and combine a didactic display of learning with descriptions of peasant-life in a somewhat coarse tone. His adventurous life led him to be identified, in the popular imagina</w:t>
        <w:softHyphen/>
        <w:t xml:space="preserve">tion, with the knight Tannhäuser who, after many wanderings, comes to the Venusberg, or Hörselberg, near Eisenach. He enters the cave where the Lady Venus—the </w:t>
      </w:r>
      <w:r>
        <w:rPr>
          <w:rFonts w:ascii="Times New Roman" w:eastAsia="Times New Roman" w:hAnsi="Times New Roman" w:cs="Times New Roman"/>
          <w:color w:val="000000"/>
          <w:spacing w:val="0"/>
          <w:w w:val="100"/>
          <w:position w:val="0"/>
          <w:shd w:val="clear" w:color="auto" w:fill="auto"/>
          <w:lang w:val="de-DE" w:eastAsia="de-DE" w:bidi="de-DE"/>
        </w:rPr>
        <w:t xml:space="preserve">Frau Hulda </w:t>
      </w:r>
      <w:r>
        <w:rPr>
          <w:rFonts w:ascii="Times New Roman" w:eastAsia="Times New Roman" w:hAnsi="Times New Roman" w:cs="Times New Roman"/>
          <w:color w:val="000000"/>
          <w:spacing w:val="0"/>
          <w:w w:val="100"/>
          <w:position w:val="0"/>
          <w:shd w:val="clear" w:color="auto" w:fill="auto"/>
          <w:lang w:val="en-US" w:eastAsia="en-US" w:bidi="en-US"/>
        </w:rPr>
        <w:t xml:space="preserve">of German folk-lore—holds her court, and abandons himself to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life of sensual pleasure. By and by he is overcome by remorse, and, invoking the aid of the Virgin Mary, he obtains permission to return for a while to the outer world. He then goes as a pilgrim to Rome, and entreats Pope Urban to secure for him the forgiveness of his sins. The pope declares it is as impossible for him to be pardoned as for the staff he has in his hand to blossom. Tannhäuser departs in despair, and returns to the Venusberg. In three days the staff begins to put forth green leaves, and the pope sends messengers in all directions in search of the penitent, but he is never seen again. This legend was at one time widely known in Germany, and as late as 1830 it survived in a popular song at Entlebuch in Switzerland, a version of which was given by Uhland in his </w:t>
      </w:r>
      <w:r>
        <w:rPr>
          <w:rFonts w:ascii="Times New Roman" w:eastAsia="Times New Roman" w:hAnsi="Times New Roman" w:cs="Times New Roman"/>
          <w:i/>
          <w:iCs/>
          <w:color w:val="000000"/>
          <w:spacing w:val="0"/>
          <w:w w:val="100"/>
          <w:position w:val="0"/>
          <w:shd w:val="clear" w:color="auto" w:fill="auto"/>
          <w:lang w:val="de-DE" w:eastAsia="de-DE" w:bidi="de-DE"/>
        </w:rPr>
        <w:t>Alle hoch- und niederdeutsche Volkslieder.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attendants of </w:t>
      </w:r>
      <w:r>
        <w:rPr>
          <w:rFonts w:ascii="Times New Roman" w:eastAsia="Times New Roman" w:hAnsi="Times New Roman" w:cs="Times New Roman"/>
          <w:color w:val="000000"/>
          <w:spacing w:val="0"/>
          <w:w w:val="100"/>
          <w:position w:val="0"/>
          <w:shd w:val="clear" w:color="auto" w:fill="auto"/>
          <w:lang w:val="de-DE" w:eastAsia="de-DE" w:bidi="de-DE"/>
        </w:rPr>
        <w:t xml:space="preserve">Hulda </w:t>
      </w:r>
      <w:r>
        <w:rPr>
          <w:rFonts w:ascii="Times New Roman" w:eastAsia="Times New Roman" w:hAnsi="Times New Roman" w:cs="Times New Roman"/>
          <w:color w:val="000000"/>
          <w:spacing w:val="0"/>
          <w:w w:val="100"/>
          <w:position w:val="0"/>
          <w:shd w:val="clear" w:color="auto" w:fill="auto"/>
          <w:lang w:val="en-US" w:eastAsia="en-US" w:bidi="en-US"/>
        </w:rPr>
        <w:t xml:space="preserve">was the faithful Eckhart, and in the preface to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Heldenbuch </w:t>
      </w:r>
      <w:r>
        <w:rPr>
          <w:rFonts w:ascii="Times New Roman" w:eastAsia="Times New Roman" w:hAnsi="Times New Roman" w:cs="Times New Roman"/>
          <w:color w:val="000000"/>
          <w:spacing w:val="0"/>
          <w:w w:val="100"/>
          <w:position w:val="0"/>
          <w:shd w:val="clear" w:color="auto" w:fill="auto"/>
          <w:lang w:val="en-US" w:eastAsia="en-US" w:bidi="en-US"/>
        </w:rPr>
        <w:t>he is said to sit before the Venusberg, and to warn passers-by of the dangers to which they may be exposed if they linger in the neighbourhood. The legend has been reproduced by several modem German poets, and by R. Wagner in an opera.</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Tannhäuser’s lyric poetry, see F. 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von 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Hagen's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Minne</w:t>
        <w:softHyphen/>
        <w:t>singer,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(1838); K. Bartsch,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Liederdichter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14.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Jahrhunderts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(3rd ed. 1893), No. 47. See also F. Zander,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Tannhäuser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sage und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Minnesinger Tannhäuser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(1858);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T. Gr</w:t>
      </w:r>
      <w:r>
        <w:rPr>
          <w:rFonts w:ascii="Cambria" w:eastAsia="Cambria" w:hAnsi="Cambria" w:cs="Cambria"/>
          <w:color w:val="000000"/>
          <w:spacing w:val="0"/>
          <w:w w:val="100"/>
          <w:position w:val="0"/>
          <w:sz w:val="17"/>
          <w:szCs w:val="17"/>
          <w:shd w:val="clear" w:color="auto" w:fill="auto"/>
          <w:lang w:val="en-US" w:eastAsia="en-US" w:bidi="en-US"/>
        </w:rPr>
        <w:t>ä</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 Sage von Tannhäuser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(1846; 2nd ed. 1861); A. öhlke Zu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Tannhäusers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Leben und Dichten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(1890); J. Siebert,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Tannh</w:t>
      </w:r>
      <w:r>
        <w:rPr>
          <w:rFonts w:ascii="Cambria" w:eastAsia="Cambria" w:hAnsi="Cambria" w:cs="Cambria"/>
          <w:i/>
          <w:iCs/>
          <w:color w:val="000000"/>
          <w:spacing w:val="0"/>
          <w:w w:val="100"/>
          <w:position w:val="0"/>
          <w:sz w:val="18"/>
          <w:szCs w:val="18"/>
          <w:shd w:val="clear" w:color="auto" w:fill="auto"/>
          <w:lang w:val="en-US" w:eastAsia="en-US" w:bidi="en-US"/>
        </w:rPr>
        <w:t>ä</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useg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Inhalt 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Form seiner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Gedichte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TANNIN,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Tannic Acid,</w:t>
      </w:r>
      <w:r>
        <w:rPr>
          <w:rFonts w:ascii="Times New Roman" w:eastAsia="Times New Roman" w:hAnsi="Times New Roman" w:cs="Times New Roman"/>
          <w:color w:val="000000"/>
          <w:spacing w:val="0"/>
          <w:w w:val="100"/>
          <w:position w:val="0"/>
          <w:shd w:val="clear" w:color="auto" w:fill="auto"/>
          <w:lang w:val="en-US" w:eastAsia="en-US" w:bidi="en-US"/>
        </w:rPr>
        <w:t xml:space="preserve"> the generic name for a widely disseminated group of vegetable products, so named from their property of converting raw hide into leather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They</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