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regards the antiquity of the two sorts of frames (the low and high warp) the Beni Hassan wall paintings (1600 B.c.) include diagrams of horizontal (low warp)frames, with weavers squatting on the ground at work on them; while a vertical or high warp frame is represented on a Greek vase of the 5th century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found at Chiusi (fig. 3), and corresponds with frames used in Scandinavian countrie@@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both these last-named the lower ends of the warp threads are merely weighted, thus presenting</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some difficulty to the act of weaving, and of subsequently com</w:t>
        <w:softHyphen/>
        <w:t xml:space="preserve">pacting the weft upwards, the warp not being taut and fastened to a beam, according to more ordinary usage, as, for instance, in the high warp frame illustrated in the codex of Rabanus </w:t>
      </w:r>
      <w:r>
        <w:rPr>
          <w:rFonts w:ascii="Times New Roman" w:eastAsia="Times New Roman" w:hAnsi="Times New Roman" w:cs="Times New Roman"/>
          <w:color w:val="000000"/>
          <w:spacing w:val="0"/>
          <w:w w:val="100"/>
          <w:position w:val="0"/>
          <w:shd w:val="clear" w:color="auto" w:fill="auto"/>
          <w:lang w:val="de-DE" w:eastAsia="de-DE" w:bidi="de-DE"/>
        </w:rPr>
        <w:t xml:space="preserve">Maurus, </w:t>
      </w:r>
      <w:r>
        <w:rPr>
          <w:rFonts w:ascii="Times New Roman" w:eastAsia="Times New Roman" w:hAnsi="Times New Roman" w:cs="Times New Roman"/>
          <w:color w:val="000000"/>
          <w:spacing w:val="0"/>
          <w:w w:val="100"/>
          <w:position w:val="0"/>
          <w:shd w:val="clear" w:color="auto" w:fill="auto"/>
          <w:lang w:val="en-US" w:eastAsia="en-US" w:bidi="en-US"/>
        </w:rPr>
        <w:t xml:space="preserve">9th 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preserved at Monte Cassino (fig. 4). The words “ </w:t>
      </w:r>
      <w:r>
        <w:rPr>
          <w:rFonts w:ascii="Times New Roman" w:eastAsia="Times New Roman" w:hAnsi="Times New Roman" w:cs="Times New Roman"/>
          <w:i/>
          <w:iCs/>
          <w:color w:val="000000"/>
          <w:spacing w:val="0"/>
          <w:w w:val="100"/>
          <w:position w:val="0"/>
          <w:shd w:val="clear" w:color="auto" w:fill="auto"/>
          <w:lang w:val="en-US" w:eastAsia="en-US" w:bidi="en-US"/>
        </w:rPr>
        <w:t>de Geneceo ”</w:t>
      </w:r>
      <w:r>
        <w:rPr>
          <w:rFonts w:ascii="Times New Roman" w:eastAsia="Times New Roman" w:hAnsi="Times New Roman" w:cs="Times New Roman"/>
          <w:color w:val="000000"/>
          <w:spacing w:val="0"/>
          <w:w w:val="100"/>
          <w:position w:val="0"/>
          <w:shd w:val="clear" w:color="auto" w:fill="auto"/>
          <w:lang w:val="en-US" w:eastAsia="en-US" w:bidi="en-US"/>
        </w:rPr>
        <w:t xml:space="preserve"> in this illustration point to a medieval survival of the earlier </w:t>
      </w:r>
      <w:r>
        <w:rPr>
          <w:rFonts w:ascii="Times New Roman" w:eastAsia="Times New Roman" w:hAnsi="Times New Roman" w:cs="Times New Roman"/>
          <w:i/>
          <w:iCs/>
          <w:color w:val="000000"/>
          <w:spacing w:val="0"/>
          <w:w w:val="100"/>
          <w:position w:val="0"/>
          <w:shd w:val="clear" w:color="auto" w:fill="auto"/>
          <w:lang w:val="en-US" w:eastAsia="en-US" w:bidi="en-US"/>
        </w:rPr>
        <w:t>gunaikonites</w:t>
      </w:r>
      <w:r>
        <w:rPr>
          <w:rFonts w:ascii="Times New Roman" w:eastAsia="Times New Roman" w:hAnsi="Times New Roman" w:cs="Times New Roman"/>
          <w:color w:val="000000"/>
          <w:spacing w:val="0"/>
          <w:w w:val="100"/>
          <w:position w:val="0"/>
          <w:shd w:val="clear" w:color="auto" w:fill="auto"/>
          <w:lang w:val="en-US" w:eastAsia="en-US" w:bidi="en-US"/>
        </w:rPr>
        <w:t xml:space="preserve"> of the Greeks and the </w:t>
      </w:r>
      <w:r>
        <w:rPr>
          <w:rFonts w:ascii="Times New Roman" w:eastAsia="Times New Roman" w:hAnsi="Times New Roman" w:cs="Times New Roman"/>
          <w:i/>
          <w:iCs/>
          <w:color w:val="000000"/>
          <w:spacing w:val="0"/>
          <w:w w:val="100"/>
          <w:position w:val="0"/>
          <w:shd w:val="clear" w:color="auto" w:fill="auto"/>
          <w:lang w:val="en-US" w:eastAsia="en-US" w:bidi="en-US"/>
        </w:rPr>
        <w:t>gynaecea</w:t>
      </w:r>
      <w:r>
        <w:rPr>
          <w:rFonts w:ascii="Times New Roman" w:eastAsia="Times New Roman" w:hAnsi="Times New Roman" w:cs="Times New Roman"/>
          <w:color w:val="000000"/>
          <w:spacing w:val="0"/>
          <w:w w:val="100"/>
          <w:position w:val="0"/>
          <w:shd w:val="clear" w:color="auto" w:fill="auto"/>
          <w:lang w:val="en-US" w:eastAsia="en-US" w:bidi="en-US"/>
        </w:rPr>
        <w:t xml:space="preserve"> of the Romans, which were the quarters set apart in the house of the well-to-do for the spinning, weaving and embroidery done by women for the household. From such ancient frames to similar </w:t>
      </w:r>
      <w:r>
        <w:rPr>
          <w:rFonts w:ascii="Times New Roman" w:eastAsia="Times New Roman" w:hAnsi="Times New Roman" w:cs="Times New Roman"/>
          <w:i/>
          <w:iCs/>
          <w:color w:val="000000"/>
          <w:spacing w:val="0"/>
          <w:w w:val="100"/>
          <w:position w:val="0"/>
          <w:shd w:val="clear" w:color="auto" w:fill="auto"/>
          <w:lang w:val="en-US" w:eastAsia="en-US" w:bidi="en-US"/>
        </w:rPr>
        <w:t>haute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basse lisse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frames of the French </w:t>
      </w:r>
      <w:r>
        <w:rPr>
          <w:rFonts w:ascii="Times New Roman" w:eastAsia="Times New Roman" w:hAnsi="Times New Roman" w:cs="Times New Roman"/>
          <w:i/>
          <w:iCs/>
          <w:color w:val="000000"/>
          <w:spacing w:val="0"/>
          <w:w w:val="100"/>
          <w:position w:val="0"/>
          <w:shd w:val="clear" w:color="auto" w:fill="auto"/>
          <w:lang w:val="fr-FR" w:eastAsia="fr-FR" w:bidi="fr-FR"/>
        </w:rPr>
        <w:t xml:space="preserve">tapissiers </w:t>
      </w:r>
      <w:r>
        <w:rPr>
          <w:rFonts w:ascii="Times New Roman" w:eastAsia="Times New Roman" w:hAnsi="Times New Roman" w:cs="Times New Roman"/>
          <w:i/>
          <w:iCs/>
          <w:color w:val="000000"/>
          <w:spacing w:val="0"/>
          <w:w w:val="100"/>
          <w:position w:val="0"/>
          <w:shd w:val="clear" w:color="auto" w:fill="auto"/>
          <w:lang w:val="en-US" w:eastAsia="en-US" w:bidi="en-US"/>
        </w:rPr>
        <w:t>nostrez</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tapissiers </w:t>
      </w:r>
      <w:r>
        <w:rPr>
          <w:rFonts w:ascii="Times New Roman" w:eastAsia="Times New Roman" w:hAnsi="Times New Roman" w:cs="Times New Roman"/>
          <w:i/>
          <w:iCs/>
          <w:color w:val="000000"/>
          <w:spacing w:val="0"/>
          <w:w w:val="100"/>
          <w:position w:val="0"/>
          <w:shd w:val="clear" w:color="auto" w:fill="auto"/>
          <w:lang w:val="en-US" w:eastAsia="en-US" w:bidi="en-US"/>
        </w:rPr>
        <w:t>sarrasinois</w:t>
      </w:r>
      <w:r>
        <w:rPr>
          <w:rFonts w:ascii="Times New Roman" w:eastAsia="Times New Roman" w:hAnsi="Times New Roman" w:cs="Times New Roman"/>
          <w:color w:val="000000"/>
          <w:spacing w:val="0"/>
          <w:w w:val="100"/>
          <w:position w:val="0"/>
          <w:shd w:val="clear" w:color="auto" w:fill="auto"/>
          <w:lang w:val="en-US" w:eastAsia="en-US" w:bidi="en-US"/>
        </w:rPr>
        <w:t xml:space="preserve"> governed under edicts (1226-70) of Louis IX., and so on to present-day Gobelins and Beauvais frames, the transition can be easily realized. The texture of all tapestry weavings presents no radical difference in appearance, no matter when or where produced.</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Within reasonable limits it is not practicable to sketch in a complete form the history, from the middle ages onwards, of the prosecution of the art by each of the many European towns that have become engaged in tapestry weaving. But the foregoing remarks will suggest, what seems to have been the fact, that a continuity in the knowledge of the art was kept up so that as favourable conditions occurred it would be called into practice. Artificers (male and female) such as the Roman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plumarii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wove tapestries with figures of Britons (Virgil,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Georg.,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iii. 25)—</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“Purpurea intexti tollant aulaea Britanni,”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—others with Scenes from the story of Theseus and Ariadne (Catullus,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Argon.,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xlvi. 267), besides many more for emperors and the wealthy. The demand for such pro</w:t>
        <w:softHyphen/>
        <w:t xml:space="preserve">duction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textrinae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trade workshops, and of the more private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gynaecea,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as well as the organization of workmen's societies,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collegia opificum,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evidence of circumstances lasting for some centuries in Rome that were favourable to tapestry-weaving there. Sug</w:t>
        <w:softHyphen/>
        <w:t>gestive of Roman designs are the illustrations of part of a curtain or wall hanging (fig. 5), and of a hanging or couch cover (fig. 6); whilst the daintiest quality of tapestry-weaving for the ornamentation of a tunic is displayed in fig. 7. The ornamentation in fig. 5 —a hanging 5 ft. 3 in. by 19</w:t>
      </w:r>
      <w:r>
        <w:rPr>
          <w:rFonts w:ascii="Times New Roman" w:eastAsia="Times New Roman" w:hAnsi="Times New Roman" w:cs="Times New Roman"/>
          <w:color w:val="000000"/>
          <w:spacing w:val="0"/>
          <w:w w:val="100"/>
          <w:position w:val="0"/>
          <w:sz w:val="17"/>
          <w:szCs w:val="17"/>
          <w:shd w:val="clear" w:color="auto" w:fill="auto"/>
          <w:lang w:val="en-US" w:eastAsia="en-US" w:bidi="en-US"/>
        </w:rPr>
        <w:t>¾</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in.—consists of a series of horizontal leafy bands or garlands and other devices: between the upper bands on a red ground is a bird on a leafy twig. This is Egypto- Roman work of about the 3rd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portion of a linen cloth or couch cover ornamented with tapestry woven in coloured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wools and linen thread is shown in fig. 6. At the top there is a fragment of a horizontal border of floral and leaf ornament be</w:t>
        <w:softHyphen/>
        <w:t>neath which, and enclosed by festoons of leaves, are two boys floating in the air and holding ducks; elsewhere are figures of boys running and carrying baskets of fruit, and large and small blossom forms or rosettes. This also is Egypto-Roman work, about the 4th century, and is 4 ft. 5 in. by 4 ft. 1 in. Fig. 7 presents a square (from a small tunic) of very fine warp and weft tapestry-weaving, with a child mounted on a white horse: in the border about him are ducks, fish and (?) peaches. This too is Egypto-Roman work of about the 2nd or 3rd century and is about 4 inches square. The square in fig. 8 is from a tunic or robe and is of tapestry-weaving in bright-coloured wools, with a representation of Hermes holding the caducous in one hand and a purse in the other. About his head is a nimbus and his name in Greek characters. This again is Egypto-Roman work of about the 1st or 2nd century and is 6</w:t>
      </w:r>
      <w:r>
        <w:rPr>
          <w:rFonts w:ascii="Cambria" w:eastAsia="Cambria" w:hAnsi="Cambria" w:cs="Cambria"/>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inches square. The panel of tapestry-weaving in fig. 9 is from a couch or bed covering, and is wrought in purple wools and linen threads. The design recalls the description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toralia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couch</w:t>
        <w:softHyphen/>
        <w:t>covering alluded to in Petronius Arbiter's account of Trimalchio’s banquet, “ on which were depicted men in ambush with hunting poles and all the apparatus of the chase.” This piece is also of Egypto-Roman work about the 2nd or 3rd century, about 12 in. by 10 in.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well-known 6th-century Ravenna mosaics of the Emperor Justinian and the Empress Theodora are rich with hangings and costumes decorated presumably with tapestry weavings similar to those just described. From the 5th century and for many centuries later, monasterie@@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nunneries and the like, under ecclesiastical control or influence, became centres of activity in this and cognate arts, stimulated by the patronage of the Church and courts; and in the 8th and 9th centuries the Em</w:t>
        <w:softHyphen/>
        <w:t xml:space="preserve">peror Charlemagne’s body of travelling inspectors,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missi dominici,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appears to have exercised for a time a helpful influence upon such centres throughout France and in parts of Germany. Two centuries later, free, as distinct from bond, handicraftsmen were forming local associations for their industries, and in this movement the weavers took the lead throughout England, Flanders and Brabant, France being a little later@@</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gilds of weavers in London and Oxford were granted charters by Henry I. In the 11th century gilds of wool weavers existed at Cologne and Mainz, and in the following century there was a similar gild at Spires: it is quite probable that some of their weaving would be of tapestr@@</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fragment in fig. 11 is con</w:t>
        <w:softHyphen/>
        <w:t>sidered by authorities to be of 12th-century north European work, possibly from some Rhenish place. At one time the whole piece</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modern Faroese frame figured by Worsaae.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Afbildinger fra det K. Museum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Nordiske Old Sager. Copenhagen, 1854, p. 123.</w:t>
      </w:r>
    </w:p>
    <w:p>
      <w:pPr>
        <w:pStyle w:val="Style3"/>
        <w:keepNext w:val="0"/>
        <w:keepLines w:val="0"/>
        <w:widowControl w:val="0"/>
        <w:shd w:val="clear" w:color="auto" w:fill="auto"/>
        <w:bidi w:val="0"/>
        <w:spacing w:line="19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Recherches sur l'</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usage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l'origine des tapisseries à personnages,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Jubinal,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1840,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7"/>
          <w:szCs w:val="17"/>
          <w:shd w:val="clear" w:color="auto" w:fill="auto"/>
          <w:lang w:val="en-US" w:eastAsia="en-US" w:bidi="en-US"/>
        </w:rPr>
        <w:t>13.</w:t>
      </w:r>
    </w:p>
    <w:p>
      <w:pPr>
        <w:pStyle w:val="Style3"/>
        <w:keepNext w:val="0"/>
        <w:keepLines w:val="0"/>
        <w:widowControl w:val="0"/>
        <w:shd w:val="clear" w:color="auto" w:fill="auto"/>
        <w:bidi w:val="0"/>
        <w:spacing w:line="20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 Brentano’s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and Development of Guilds,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IV. “ The Craft Guilds.”</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ugène Müntz quotes a deed (between 1164 and 1200) witnessed by “ Meginwart of Welt in burch,” a tapetiarius, as well as another (1177) in which mention is made of Fredericus, </w:t>
      </w:r>
      <w:r>
        <w:rPr>
          <w:rFonts w:ascii="Times New Roman" w:eastAsia="Times New Roman" w:hAnsi="Times New Roman" w:cs="Times New Roman"/>
          <w:i/>
          <w:iCs/>
          <w:color w:val="000000"/>
          <w:spacing w:val="0"/>
          <w:w w:val="100"/>
          <w:position w:val="0"/>
          <w:shd w:val="clear" w:color="auto" w:fill="auto"/>
          <w:lang w:val="en-US" w:eastAsia="en-US" w:bidi="en-US"/>
        </w:rPr>
        <w:t>tapifex de familia ecclesiae.</w:t>
      </w:r>
    </w:p>
    <w:p>
      <w:pPr>
        <w:widowControl w:val="0"/>
        <w:spacing w:line="1" w:lineRule="exact"/>
      </w:pPr>
    </w:p>
    <w:sectPr>
      <w:footnotePr>
        <w:pos w:val="pageBottom"/>
        <w:numFmt w:val="decimal"/>
        <w:numRestart w:val="continuous"/>
      </w:footnotePr>
      <w:type w:val="continuous"/>
      <w:pgSz w:w="12240" w:h="15840"/>
      <w:pgMar w:top="1022" w:left="907" w:right="893" w:bottom="4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