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compositions, and the flowers, &amp;c., as in the ground of Fig. 18</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might complete or correct their cartoons with charcoal or chalk, but for every other style of work they were bound to apply to professional painters under pain of fine.@@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1528 the Brussels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tapissiers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dealers in tapestries were required to mark their weavings, and Charles V. ordered all tapestry makers in the Low Countries to do the same.@@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practice was followed in other countries into which emigrant Flemish or French weavers had carried the industry, making their tapestries very often from copies they took with them of cartoons designed by noted Italian and Flemish painters. Makers’ marks have in so many cases been cut from tapestries that it becomes practically impossible to identify the places where they were made, and the dates of their production can only be conjectured from the styles of designs, supplied for instance by such artists (or their followers) as the Van Eycks, Roger van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Weyden, Mantegna, Leonardo da Vinci, Raphael, Bernard van Orley, Lancelot Blondeel and John van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Straaten or Stradanus; this last-named was for many years em</w:t>
        <w:softHyphen/>
        <w:t xml:space="preserve">ployed in connexion with the important “ Arrazeria Medici” founded in Florence by Cosmo I., duke of Tuscany (1537), which lasted until the beginning of the 18th century; Strad- anus’s style of design is similar to that of episodes in the story of Dido and Aeneas shown in fig. 23 from an Oudenarde tapestry of the early 17th century. Reverting to the 16th century, reference must be made to Cardinal Wolsey and Henry VIII., who possessed enormous quantities of the best </w:t>
      </w:r>
      <w:r>
        <w:rPr>
          <w:rFonts w:ascii="Times New Roman" w:eastAsia="Times New Roman" w:hAnsi="Times New Roman" w:cs="Times New Roman"/>
          <w:color w:val="000000"/>
          <w:spacing w:val="0"/>
          <w:w w:val="100"/>
          <w:position w:val="0"/>
          <w:sz w:val="17"/>
          <w:szCs w:val="17"/>
          <w:shd w:val="clear" w:color="auto" w:fill="auto"/>
          <w:lang w:val="fr-FR" w:eastAsia="fr-FR" w:bidi="fr-FR"/>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lemish tapestries of their time and earlier, and a fair number of them are still preserved at Hampton Court Palace.·@@’ The king had in his service not only agents especially in Brussels to buy hangings, but also a considerable staff of “ Arras</w:t>
        <w:softHyphen/>
        <w:t>makers." In Ireland, the taste for tapestry was evidenced by a manufactory at Kilkenny of “ tapestry, Turkey carpets and diapers,” founded early in the 16th century at the instance of Piers, 8th earl of Ormond and his lady, Margaret FitzGerald, and giving employment to workmen introduced by him from Flanders.@@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At a rather later date tapestry works were established by William Sheldon at Weston and Barcheston in Warwickshire, with a view to which he previously sent Richard Hickes to the Low Countries to learn tapestry-weaving. A few Flemings were probably brought over by him and set to work at Barcheston and Weston, where he was appointed “ master weaver.” In his will (1569) Sheidon calls Hickes, somewhat erroneously perhaps, “the only auter and be</w:t>
        <w:softHyphen/>
        <w:t>ginner of tapestry and Arras within this realm." His son, Francis Hickes, was educated at St Mary Hall, Oxford (1579-83), and about 1640 he caused some tapestry maps to be woven.@@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Made before them are a set of hangings of the “ Four Seasons,” now preserved at Hatfield. These are most probably from designs by Francis Hickes. They were bought by the marquis of Salisbury very shortly before the first visit of Queen Victoria to Hatfield. The borders of these pieces with small medallions and Latin mottoes are attractively amusing and interesting. In the lower border (fig. 24) one may read “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via. virtuti. encyclopedia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upper border a date, “ 1611,” occurs in one medallion. In the upper border of each hanging is an important coat of arms with several quarterings, chief of which are those of Tracey of Toddington in Gloucestershire impaling those of Shirley of Wiston in Sussex. The designer's inventiveness and fancy in illustrating attributes, &amp;c., of the "Seasons” are almost exuberant, however restricted and quaint his graphic power seems to be.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Philip II. is mentioned as having encouraged a manufacture of tapestry by Flemings in Madrid in 1582. In 1539, Francis I. started a royal factory for tapestry at Fontainebleau (see fig. 20), and employed Primaticcio amongst other artists to furnish the necessary designs. Henry II., whilst continuing work at Fontaine</w:t>
        <w:softHyphen/>
        <w:t xml:space="preserve">bleau, caused a second factory to be set going in Paris at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Hôpital de la Trinité.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7"/>
          <w:szCs w:val="17"/>
          <w:shd w:val="clear" w:color="auto" w:fill="auto"/>
          <w:lang w:val="en-US" w:eastAsia="en-US" w:bidi="en-US"/>
        </w:rPr>
        <w:t>IV. continued this royal patronage in lavish fashion and added yet another factory, that in the Faubourg St. Antoine, which in 1603 was transferred to workrooms in the Louvre. As Paris thus came to the fore, so Brussels gradually declined. Upon the death of Henry IV. in 1610 Pans tapestry-making suffered a check, which may perhaps have contributed somewhat favourably to the start made by James I. to organize the Mortlake works, where several foreign workmen were employed under the direction of Sir Francis Crane.@@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Both James I. and Charles 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supplied considerable sums of money for the Mortlake works, and tapestries were made there, as fine as any comtemporaneously at Paris or Brussels,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those from Raphael’s cartoons of “ the Acts of the Apostles,”@@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z w:val="17"/>
          <w:szCs w:val="17"/>
          <w:shd w:val="clear" w:color="auto" w:fill="auto"/>
          <w:lang w:val="en-US" w:eastAsia="en-US" w:bidi="en-US"/>
        </w:rPr>
        <w:t>Rubens’s “Story of Achilles,” and por</w:t>
        <w:softHyphen/>
        <w:t xml:space="preserve">traits by Van Dyck. After the execution of Charles l., Mortlake declined, and new life was infused into the industry at Paris under the influence of Colbert, to whose strong personal interest in the arts is due the organization in 1667 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Hôtel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des Gobelins under the painter Charles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Brun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Manufacture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Royale des Meubles de la Couronne,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for large hangings became the premier tapestry-weaving centre in Europe. Three years previously Colbert had initiated a similar manufactory, chiefly with low-warp frames, at Beauvais, which is noted for sofa and chair seats and backs, screens and small panels.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Efforts to establish the industry in Rome were made during the 17th century, but it is only since the pontificate of Clement XL in 1702 that a papal factory has been successfully conducted and is still carried on in the Vatican. The manufactory of Santa Barbara in Madrid was founded by Philip V. in 1720, and although it was closed in 1808 it re-opened in 1815 and is still at work.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Tapestry-weaving during the 18th century under private enter</w:t>
        <w:softHyphen/>
        <w:t xml:space="preserve">prise was pursued with success and still continues at Aubusson, Felletin; it was carried on for a short time only at Fulham, Soho, Exeter, and for rather longer periods at Lille,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Cambrai, </w:t>
      </w:r>
      <w:r>
        <w:rPr>
          <w:rFonts w:ascii="Times New Roman" w:eastAsia="Times New Roman" w:hAnsi="Times New Roman" w:cs="Times New Roman"/>
          <w:color w:val="000000"/>
          <w:spacing w:val="0"/>
          <w:w w:val="100"/>
          <w:position w:val="0"/>
          <w:sz w:val="17"/>
          <w:szCs w:val="17"/>
          <w:shd w:val="clear" w:color="auto" w:fill="auto"/>
          <w:lang w:val="en-US" w:eastAsia="en-US" w:bidi="en-US"/>
        </w:rPr>
        <w:t>Gisors, Nancy, Naples, Turin, Venice, Seville, Munich, Berlin, Dresden, Heidelberg and St Petersburg, maintaining, however, no very prolonged existence at any of these latter places. In more modern times English tapestries woven after 1878 at the Merton works from designs by William Morris (see fig. 26), as well as by Sir Edward Burne-Jones@@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Mr Walter Crane, have great dis</w:t>
        <w:softHyphen/>
        <w:t>tinction in vigorous style reminiscent of virile medieval work. In mere technique of weaving with fine warp and weft they are outdone by the comparatively effeminate and delicate painting</w:t>
        <w:softHyphen/>
        <w:t>like fabrics now made at the Gobelins and Aubusson.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Towards the end of the 17th century as well as early in the 18th century some tapestry-weaving was carried on in Ireland. For about twenty years at Chapelizod, near Dublin, tapestry frames were worked by Christopher and John Lovett, the latter of whom had to leave Dublin, bringing with him into England some thirty</w:t>
        <w:softHyphen/>
        <w:t>eight pieces of tapestry of “ Their Majesties’ Manufacture of Ireland.” In the Bank of Ireland, in College Green, Dublin, are two large hangings which were executed by Robert Baillie, who is said to have held the appointment of upholsterer to the Irish government in 1716.@@’ One of them represents the Battle of the Boyne, the other the “ Glorious Defence of Londonderry ” (see fig. 25). Lough Foyle and the hill surmounted by the city of Londonderry are represented in the landscape : to the left in the foreground is James II., by whom is the Commander Hamilton with his hat off, and near at hand cavalry: on the right are mortars, cannon and foot soldiers. The border of this tapestry is fantastic in design and rather in the style of an over-elaborated theatre proscenium, upon which hang medallions containing portraits of Captain Baker, the Rev. Dr Walker and the captain of the frigate “ Dartmouth,” in which the supplies were brought to the be</w:t>
        <w:softHyphen/>
        <w:t>sieged which led to the relief of the city and the defeat of the in</w:t>
        <w:softHyphen/>
        <w:t xml:space="preserve">vesting army. The designs for these Dublin tapestries are credited to John Vanbeaver, a Flemish weaver, who seems to have been a moderate draughtsman. They are clearly adaptations of designs of historical events,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Brun and van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Meulen, from which tapestries were woven at the Gobelins factory to the order of Louis XIV. at the end of the 17th century. These Dublin hangings were woven about 1735, and Baillie 'was commissioned to make four others representing the landing of the prince of Orange, his. army at Carrickfergus, the Battle of Aughrim, and the taking of Cork and Kinsale by Marlborough.@@</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These, however, were not completed, and Baillie was paid £200 as compensation.</w:t>
      </w:r>
    </w:p>
    <w:p>
      <w:pPr>
        <w:pStyle w:val="Style3"/>
        <w:keepNext w:val="0"/>
        <w:keepLines w:val="0"/>
        <w:widowControl w:val="0"/>
        <w:shd w:val="clear" w:color="auto" w:fill="auto"/>
        <w:bidi w:val="0"/>
        <w:spacing w:line="190" w:lineRule="auto"/>
        <w:ind w:left="0" w:firstLine="360"/>
        <w:jc w:val="left"/>
        <w:sectPr>
          <w:footnotePr>
            <w:pos w:val="pageBottom"/>
            <w:numFmt w:val="decimal"/>
            <w:numRestart w:val="continuous"/>
          </w:footnotePr>
          <w:pgSz w:w="12240" w:h="15840"/>
          <w:pgMar w:top="1099" w:left="960" w:right="902" w:bottom="48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Tapestry-weaving as a possible cottage or home industry is practised in a few' places in Ireland and England. In the Far East, China and Japan, the art, adopted presumably from western Asia, is sometimes resorted to in making silken robes and intricately figured hangings. The Japanese call their tapestry-weaving </w:t>
      </w:r>
      <w:r>
        <w:rPr>
          <w:rFonts w:ascii="Times New Roman" w:eastAsia="Times New Roman" w:hAnsi="Times New Roman" w:cs="Times New Roman"/>
          <w:i/>
          <w:iCs/>
          <w:color w:val="000000"/>
          <w:spacing w:val="0"/>
          <w:w w:val="100"/>
          <w:position w:val="0"/>
          <w:shd w:val="clear" w:color="auto" w:fill="auto"/>
          <w:lang w:val="en-US" w:eastAsia="en-US" w:bidi="en-US"/>
        </w:rPr>
        <w:t>tsuzu-re-ori.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Bulletin des commissions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royales </w:t>
      </w:r>
      <w:r>
        <w:rPr>
          <w:rFonts w:ascii="Times New Roman" w:eastAsia="Times New Roman" w:hAnsi="Times New Roman" w:cs="Times New Roman"/>
          <w:i/>
          <w:iCs/>
          <w:color w:val="000000"/>
          <w:spacing w:val="0"/>
          <w:w w:val="100"/>
          <w:position w:val="0"/>
          <w:shd w:val="clear" w:color="auto" w:fill="auto"/>
          <w:lang w:val="fr-FR" w:eastAsia="fr-FR" w:bidi="fr-FR"/>
        </w:rPr>
        <w:t>d’art et d'archéologie.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Wauters,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tapissiers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haute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basse lisse à </w:t>
      </w:r>
      <w:r>
        <w:rPr>
          <w:rFonts w:ascii="Times New Roman" w:eastAsia="Times New Roman" w:hAnsi="Times New Roman" w:cs="Times New Roman"/>
          <w:i/>
          <w:iCs/>
          <w:color w:val="000000"/>
          <w:spacing w:val="0"/>
          <w:w w:val="100"/>
          <w:position w:val="0"/>
          <w:shd w:val="clear" w:color="auto" w:fill="auto"/>
          <w:lang w:val="en-US" w:eastAsia="en-US" w:bidi="en-US"/>
        </w:rPr>
        <w:t>Bruxelles.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list of tapestry marks, ρρ. 472-81 in Thomson’s </w:t>
      </w:r>
      <w:r>
        <w:rPr>
          <w:rFonts w:ascii="Times New Roman" w:eastAsia="Times New Roman" w:hAnsi="Times New Roman" w:cs="Times New Roman"/>
          <w:i/>
          <w:iCs/>
          <w:color w:val="000000"/>
          <w:spacing w:val="0"/>
          <w:w w:val="100"/>
          <w:position w:val="0"/>
          <w:shd w:val="clear" w:color="auto" w:fill="auto"/>
          <w:lang w:val="en-US" w:eastAsia="en-US" w:bidi="en-US"/>
        </w:rPr>
        <w:t>History of Tapestry.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Law’s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Hampton Court Palace,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1885.</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Transactions of the Kilkenny Archaeological Society,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1852, “ Ancient Tapestry at Kilkenny Castle,” by the Rev. James Graves.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 Tapestry Maps in the Museum at York ” (paper read before Royal Geographical Society by Rev. 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 Bedford, printed 10th Dec. 1896, and included in vol. i. of the society's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Transactions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1897), also in Bodleian Library.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half-length portrait by Van Dyck of Sir Francis Crane worked in tapestry, and one or two small fine-warp tapestry panels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Virgin Mary and Jesus Christ, hang at Lord Petre’s, Thorndon Hall, Brentwood. Ancestors of the late Lady Petre were related to the Crane family, as well as to the Markham family with which Edward Sheldon by his marriage early in the 17th century became connected. The Sheldon and Markham arms occur in the border of one of the map tapestries in the Bodleian Library.</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The original cartoons, the property of the Crown, are exhibited in the Victoria and Albert Museum.</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very fine set of Merton tapestries made from Burne-Jones’s designs are in the Municipal Museum at Birmingham.</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References to his employment in making tapestries occur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Irish House of Lords.</w:t>
      </w:r>
    </w:p>
    <w:p>
      <w:pPr>
        <w:pStyle w:val="Style3"/>
        <w:keepNext w:val="0"/>
        <w:keepLines w:val="0"/>
        <w:widowControl w:val="0"/>
        <w:shd w:val="clear" w:color="auto" w:fill="auto"/>
        <w:bidi w:val="0"/>
        <w:spacing w:line="190" w:lineRule="auto"/>
        <w:ind w:left="0" w:firstLine="360"/>
        <w:jc w:val="left"/>
        <w:rPr>
          <w:sz w:val="17"/>
          <w:szCs w:val="17"/>
        </w:rPr>
        <w:sectPr>
          <w:footnotePr>
            <w:pos w:val="pageBottom"/>
            <w:numFmt w:val="decimal"/>
            <w:numRestart w:val="continuous"/>
          </w:footnotePr>
          <w:type w:val="continuous"/>
          <w:pgSz w:w="12240" w:h="15840"/>
          <w:pgMar w:top="1099" w:left="989" w:right="874" w:bottom="48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Gilbert’s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Dublin,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iii. p. 79.</w:t>
      </w:r>
    </w:p>
    <w:sectPr>
      <w:footnotePr>
        <w:pos w:val="pageBottom"/>
        <w:numFmt w:val="decimal"/>
        <w:numRestart w:val="continuous"/>
      </w:footnotePr>
      <w:type w:val="continuous"/>
      <w:pgSz w:w="12240" w:h="15840"/>
      <w:pgMar w:top="1099" w:left="989" w:right="874"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