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school at Pumbadita in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Both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language —though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naturally there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variation of vocabulary</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style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closely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resembles the Targum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Onkelos,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modelled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that translation: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certain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passages, indeed,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have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made use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it.@@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Probably, like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Onkelos,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assume its final form in Babylon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the 5th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naturally follows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character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original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rendering of this Targum is less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literal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than that of Onkelos, </w:t>
      </w:r>
      <w:r>
        <w:rPr>
          <w:rFonts w:ascii="Times New Roman" w:eastAsia="Times New Roman" w:hAnsi="Times New Roman" w:cs="Times New Roman"/>
          <w:color w:val="000000"/>
          <w:spacing w:val="0"/>
          <w:w w:val="100"/>
          <w:position w:val="0"/>
          <w:sz w:val="17"/>
          <w:szCs w:val="17"/>
          <w:shd w:val="clear" w:color="auto" w:fill="auto"/>
          <w:lang w:val="en-US" w:eastAsia="en-US" w:bidi="en-US"/>
        </w:rPr>
        <w:t>espe</w:t>
        <w:softHyphen/>
        <w:t xml:space="preserve">cially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prophetic books,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due allowance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made for the difficulty of the Hebrew,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be described on the whole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faithful reproduction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text.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peculiarities of rendering are due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principles which were noted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underlying the translation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Pentateuch. Anthropomorphisms,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rule, are avoided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means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same expedients as those employed by Onkelos, expressions derogatory to the dignity of God,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heroes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softened down, while figurative language is either boldly transposed, or its character clearly shown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introduction of the particle “ as ” or “ like." There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further,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tendency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narrow down the scope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prophetic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utterances,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limit their application to Israel and its immediate enemies.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obscurer passages the Haggadic method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interpretation is employed to its fullest extent,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translation throughout shows a marked tendency to explanatory additions.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Targum </w:t>
      </w:r>
      <w:r>
        <w:rPr>
          <w:rFonts w:ascii="Times New Roman" w:eastAsia="Times New Roman" w:hAnsi="Times New Roman" w:cs="Times New Roman"/>
          <w:i/>
          <w:iCs/>
          <w:color w:val="000000"/>
          <w:spacing w:val="0"/>
          <w:w w:val="100"/>
          <w:position w:val="0"/>
          <w:shd w:val="clear" w:color="auto" w:fill="auto"/>
          <w:lang w:val="en-US" w:eastAsia="en-US" w:bidi="en-US"/>
        </w:rPr>
        <w:t>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Prophets but little is known, though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hardly doubtful that such a Targum existed, if only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oral form. Traces of this version have been discovered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Bacher</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variants attached to the margin of the </w:t>
      </w:r>
      <w:r>
        <w:rPr>
          <w:rFonts w:ascii="Times New Roman" w:eastAsia="Times New Roman" w:hAnsi="Times New Roman" w:cs="Times New Roman"/>
          <w:i/>
          <w:iCs/>
          <w:color w:val="000000"/>
          <w:spacing w:val="0"/>
          <w:w w:val="100"/>
          <w:position w:val="0"/>
          <w:shd w:val="clear" w:color="auto" w:fill="auto"/>
          <w:lang w:val="en-US" w:eastAsia="en-US" w:bidi="en-US"/>
        </w:rPr>
        <w:t>Codex Reuchlinianus,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printed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Lagarde in his edition of </w:t>
      </w:r>
      <w:r>
        <w:rPr>
          <w:rFonts w:ascii="Times New Roman" w:eastAsia="Times New Roman" w:hAnsi="Times New Roman" w:cs="Times New Roman"/>
          <w:i/>
          <w:iCs/>
          <w:color w:val="000000"/>
          <w:spacing w:val="0"/>
          <w:w w:val="100"/>
          <w:position w:val="0"/>
          <w:shd w:val="clear" w:color="auto" w:fill="auto"/>
          <w:lang w:val="en-US" w:eastAsia="en-US" w:bidi="en-US"/>
        </w:rPr>
        <w:t>Prophetae Chatdaice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(1872). These fragments, which have been preserved under the headings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π</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'τ 'ιτπ, exhibit certain features in common with the Jerusalem Targums to the Pentateuch, and are demonstrably of post-Talmudic date. According to Kohut’s list of Targum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quotations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'Arük,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Jerusalem Targum existed also for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Psalms,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Proverbs, Job, Canticles, Lamentations, Ecclesiastes and Esther, but this list is scarcely reliable, and, as Dalman has pointed out,@@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quotations in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Kings, Ezekiel, Proverbs and Lamentations are the only ones that point with certainty to the existence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Targum Jerushalmi.</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Targums to the Hagiographa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These Targums possess but little interest for the student of Jewish literature as they are almost entirely the work of indi</w:t>
        <w:softHyphen/>
        <w:t>viduals, made in imitation of the older Targums. Despite the reference to a Targum of Job in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century (see above), all the extant Targums to the Hagiographa are later in date than the Targums to the Law and the Prophets.</w:t>
      </w:r>
    </w:p>
    <w:p>
      <w:pPr>
        <w:pStyle w:val="Style3"/>
        <w:keepNext w:val="0"/>
        <w:keepLines w:val="0"/>
        <w:widowControl w:val="0"/>
        <w:shd w:val="clear" w:color="auto" w:fill="auto"/>
        <w:tabs>
          <w:tab w:pos="46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Targums to the Psalms and Job.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—These Targums present certain features in common and may therefore be treated under the same heading. Like all the later Targums they exhibit a large amount of explanatory addition, chiefly Haggadic in character. At the same time the translation of the original is not neglected ; and, when separated from the later accretions, this is found to follow the Hebrew tolerably closely. Peculiar to these Targums are the double translations, which they give to many verses, one of which is usually Haggadic in character, while the other is more literal. </w:t>
      </w:r>
      <w:r>
        <w:rPr>
          <w:rFonts w:ascii="Times New Roman" w:eastAsia="Times New Roman" w:hAnsi="Times New Roman" w:cs="Times New Roman"/>
          <w:color w:val="000000"/>
          <w:spacing w:val="0"/>
          <w:w w:val="100"/>
          <w:position w:val="0"/>
          <w:sz w:val="17"/>
          <w:szCs w:val="17"/>
          <w:shd w:val="clear" w:color="auto" w:fill="auto"/>
          <w:lang w:val="de-DE" w:eastAsia="de-DE" w:bidi="de-DE"/>
        </w:rPr>
        <w:t>Bacher</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would assign these Targums to the 4th or 5th century, but, as Dalman has pointed out,@@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exhibit linguistic features in common with the Jerusalem Targums to the Pentateuch. They cannot be earlier than the 7th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possibly are of a considerably later date.</w:t>
      </w:r>
    </w:p>
    <w:p>
      <w:pPr>
        <w:pStyle w:val="Style3"/>
        <w:keepNext w:val="0"/>
        <w:keepLines w:val="0"/>
        <w:widowControl w:val="0"/>
        <w:shd w:val="clear" w:color="auto" w:fill="auto"/>
        <w:tabs>
          <w:tab w:pos="46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Targum to the Proverbs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stands apart owing to the peculiarity of the language in which it is written. The influence of the Peshitta version is so clearly marked,@@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Dalman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l.c.</w:t>
      </w:r>
      <w:r>
        <w:rPr>
          <w:rFonts w:ascii="Times New Roman" w:eastAsia="Times New Roman" w:hAnsi="Times New Roman" w:cs="Times New Roman"/>
          <w:color w:val="000000"/>
          <w:spacing w:val="0"/>
          <w:w w:val="100"/>
          <w:position w:val="0"/>
          <w:sz w:val="17"/>
          <w:szCs w:val="17"/>
          <w:shd w:val="clear" w:color="auto" w:fill="auto"/>
          <w:lang w:val="en-US" w:eastAsia="en-US" w:bidi="en-US"/>
        </w:rPr>
        <w:t>) de</w:t>
        <w:softHyphen/>
        <w:t xml:space="preserve">scribes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a Jewish revision of that version. But setting aside the Syriasms due to the use of the Peshitta, the Targum shows affinity to the Targums to the Psalms and Job. The translation is literal and almost entirely free from Haggadic additions.@@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p>
    <w:p>
      <w:pPr>
        <w:pStyle w:val="Style3"/>
        <w:keepNext w:val="0"/>
        <w:keepLines w:val="0"/>
        <w:widowControl w:val="0"/>
        <w:shd w:val="clear" w:color="auto" w:fill="auto"/>
        <w:tabs>
          <w:tab w:pos="46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Targums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 the Megilloth.—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characteristic of these Targums is their exaggerated use of paraphrase. They mark the final stage in the development of Haggadic interpretation, in which the translation of the text has practically disappeared in a mass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fantastic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irrelevant matter. The Targum of Esther is known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us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three recensions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of the Antwerp Polyglot, almost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literal translation; (2) that of the London Polyglot, which gives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practically the same text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many additions of a Haggadic char</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acter; (3)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so-called second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Targum, a much larger work,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containing a collection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later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Midrashim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this book. According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Zunz@@</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 second ” Targum is quoted by Rashi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iii. 4) as a Jerusalem Targum, and also (1 Kings x. 19) as the “ Haggada ” of the Megilloth Esther. The Targιιm to Canticles is of a similar character to that of the “ second ’’ Esther. Dalman assigns these Targums to a date half-way between the Babylonian Targums (Onkelos and that to the Prophets) and the Jerusalem Targums to the Pentateuch and those to the greater Hagiographa. The British Museum possesses three important Yemen manuscripts for the five Megilloth and the “ second ” Esther Targum in MSS. Or. 1302, 1476, and 2375.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Targum to the Chronicles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first edited from an Erfurt manuscript by Μ. F. Beck, 1680-1683. A more complete and accurate edition from a Cambridge manuscript was edited by I). Wilkins in 1715. In the translation, which at times is fairly literal, use appears to have been made of the Jerusalem .Targums to the Pentateuch, and of the Targums to the books of Samuel and Kings. The text represented by the Erfurt manuscript is assigned to the 8th, that of the Cambridge manuscript to the 9th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9</w:t>
      </w:r>
    </w:p>
    <w:p>
      <w:pPr>
        <w:pStyle w:val="Style3"/>
        <w:keepNext w:val="0"/>
        <w:keepLines w:val="0"/>
        <w:widowControl w:val="0"/>
        <w:shd w:val="clear" w:color="auto" w:fill="auto"/>
        <w:tabs>
          <w:tab w:pos="412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Targums have so far been discovered to Daniel and Ezra and Nehemiah.</w:t>
        <w:tab/>
        <w:t xml:space="preserve">(J. 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a seaport of Spain, in the province of Cadiz, at the extreme south point of the Peninsula, 21 m. by rail W.S.W. of Gibraltar. Pop. (1900) 11,723. The town is nearly quad</w:t>
        <w:softHyphen/>
        <w:t xml:space="preserve">rangular, with narrow, crooked streets, and is still surrounded by its old Moorish walls. On its east side, just within these, stands the citadel. The rocky island in front of the town, connected with the mainland by a causeway, is strongly fortified; on the south side there is a modern lighthouse. Anchovy and tunny fishing is carried on, and there is some coasting trade, chiefly in live stock, salt fish and fruit. The manufactures (leather and earthenware) are unimportant. The oranges of </w:t>
      </w: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are famed for their sweetness.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hd w:val="clear" w:color="auto" w:fill="auto"/>
          <w:lang w:val="en-US" w:eastAsia="en-US" w:bidi="en-US"/>
        </w:rPr>
        <w:t>Julia Joza</w:t>
      </w:r>
      <w:r>
        <w:rPr>
          <w:rFonts w:ascii="Times New Roman" w:eastAsia="Times New Roman" w:hAnsi="Times New Roman" w:cs="Times New Roman"/>
          <w:color w:val="000000"/>
          <w:spacing w:val="0"/>
          <w:w w:val="100"/>
          <w:position w:val="0"/>
          <w:shd w:val="clear" w:color="auto" w:fill="auto"/>
          <w:lang w:val="en-US" w:eastAsia="en-US" w:bidi="en-US"/>
        </w:rPr>
        <w:t xml:space="preserve"> of Strabo, between Cades and Belon. According to that writer, it was colonized by Romans and the removed inhabitants of Zelis in Mauretania Tingitana. The </w:t>
      </w:r>
      <w:r>
        <w:rPr>
          <w:rFonts w:ascii="Times New Roman" w:eastAsia="Times New Roman" w:hAnsi="Times New Roman" w:cs="Times New Roman"/>
          <w:i/>
          <w:iCs/>
          <w:color w:val="000000"/>
          <w:spacing w:val="0"/>
          <w:w w:val="100"/>
          <w:position w:val="0"/>
          <w:shd w:val="clear" w:color="auto" w:fill="auto"/>
          <w:lang w:val="en-US" w:eastAsia="en-US" w:bidi="en-US"/>
        </w:rPr>
        <w:t>Julia Transducta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Traducta</w:t>
      </w:r>
      <w:r>
        <w:rPr>
          <w:rFonts w:ascii="Times New Roman" w:eastAsia="Times New Roman" w:hAnsi="Times New Roman" w:cs="Times New Roman"/>
          <w:color w:val="000000"/>
          <w:spacing w:val="0"/>
          <w:w w:val="100"/>
          <w:position w:val="0"/>
          <w:shd w:val="clear" w:color="auto" w:fill="auto"/>
          <w:lang w:val="en-US" w:eastAsia="en-US" w:bidi="en-US"/>
        </w:rPr>
        <w:t xml:space="preserve"> of coins and of Ptolemy appears to be the same place. Its present name, dating from early in the 8th century, is derived from </w:t>
      </w:r>
      <w:r>
        <w:rPr>
          <w:rFonts w:ascii="Times New Roman" w:eastAsia="Times New Roman" w:hAnsi="Times New Roman" w:cs="Times New Roman"/>
          <w:color w:val="000000"/>
          <w:spacing w:val="0"/>
          <w:w w:val="100"/>
          <w:position w:val="0"/>
          <w:shd w:val="clear" w:color="auto" w:fill="auto"/>
          <w:lang w:val="fr-FR" w:eastAsia="fr-FR" w:bidi="fr-FR"/>
        </w:rPr>
        <w:t xml:space="preserve">Tarif,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Cambria" w:eastAsia="Cambria" w:hAnsi="Cambria" w:cs="Cambria"/>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riq sent to Spain in command of the advance-guard of the Moorish invaders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Spain: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1292 </w:t>
      </w: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 xml:space="preserve">was taken by Sancho IV. of Castile from the Moors, who made several subsequent attempts to recapture it. In the defence of </w:t>
      </w: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 xml:space="preserve">Alphonso XI. gained the battle of Salado, a short distance to the westward, in 1340. In 1812 a French force of 10,000 men under Generals Victor and Laval vainly endeavoured to capture </w:t>
      </w: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which was garrisoned by 2500 troops (mostly British) under General Gough.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TARIFF </w:t>
      </w:r>
      <w:r>
        <w:rPr>
          <w:rFonts w:ascii="Times New Roman" w:eastAsia="Times New Roman" w:hAnsi="Times New Roman" w:cs="Times New Roman"/>
          <w:color w:val="000000"/>
          <w:spacing w:val="0"/>
          <w:w w:val="100"/>
          <w:position w:val="0"/>
          <w:shd w:val="clear" w:color="auto" w:fill="auto"/>
          <w:lang w:val="en-US" w:eastAsia="en-US" w:bidi="en-US"/>
        </w:rPr>
        <w:t xml:space="preserve">(adapted in English from the French; the word comes through the Spanish </w:t>
      </w:r>
      <w:r>
        <w:rPr>
          <w:rFonts w:ascii="Times New Roman" w:eastAsia="Times New Roman" w:hAnsi="Times New Roman" w:cs="Times New Roman"/>
          <w:i/>
          <w:iCs/>
          <w:color w:val="000000"/>
          <w:spacing w:val="0"/>
          <w:w w:val="100"/>
          <w:position w:val="0"/>
          <w:shd w:val="clear" w:color="auto" w:fill="auto"/>
          <w:lang w:val="fr-FR" w:eastAsia="fr-FR" w:bidi="fr-FR"/>
        </w:rPr>
        <w:t>tarifa,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list or schedule of prices, from the Arabic, </w:t>
      </w:r>
      <w:r>
        <w:rPr>
          <w:rFonts w:ascii="Times New Roman" w:eastAsia="Times New Roman" w:hAnsi="Times New Roman" w:cs="Times New Roman"/>
          <w:i/>
          <w:iCs/>
          <w:color w:val="000000"/>
          <w:spacing w:val="0"/>
          <w:w w:val="100"/>
          <w:position w:val="0"/>
          <w:shd w:val="clear" w:color="auto" w:fill="auto"/>
          <w:lang w:val="en-US" w:eastAsia="en-US" w:bidi="en-US"/>
        </w:rPr>
        <w:t>ta'rifa,</w:t>
      </w:r>
      <w:r>
        <w:rPr>
          <w:rFonts w:ascii="Times New Roman" w:eastAsia="Times New Roman" w:hAnsi="Times New Roman" w:cs="Times New Roman"/>
          <w:color w:val="000000"/>
          <w:spacing w:val="0"/>
          <w:w w:val="100"/>
          <w:position w:val="0"/>
          <w:shd w:val="clear" w:color="auto" w:fill="auto"/>
          <w:lang w:val="en-US" w:eastAsia="en-US" w:bidi="en-US"/>
        </w:rPr>
        <w:t xml:space="preserve"> information, an inventory, </w:t>
      </w:r>
      <w:r>
        <w:rPr>
          <w:rFonts w:ascii="Times New Roman" w:eastAsia="Times New Roman" w:hAnsi="Times New Roman" w:cs="Times New Roman"/>
          <w:i/>
          <w:iCs/>
          <w:color w:val="000000"/>
          <w:spacing w:val="0"/>
          <w:w w:val="100"/>
          <w:position w:val="0"/>
          <w:shd w:val="clear" w:color="auto" w:fill="auto"/>
          <w:lang w:val="en-US" w:eastAsia="en-US" w:bidi="en-US"/>
        </w:rPr>
        <w:t>'arf,</w:t>
      </w:r>
      <w:r>
        <w:rPr>
          <w:rFonts w:ascii="Times New Roman" w:eastAsia="Times New Roman" w:hAnsi="Times New Roman" w:cs="Times New Roman"/>
          <w:color w:val="000000"/>
          <w:spacing w:val="0"/>
          <w:w w:val="100"/>
          <w:position w:val="0"/>
          <w:shd w:val="clear" w:color="auto" w:fill="auto"/>
          <w:lang w:val="en-US" w:eastAsia="en-US" w:bidi="en-US"/>
        </w:rPr>
        <w:t xml:space="preserve"> know</w:t>
        <w:softHyphen/>
        <w:t>ledge), a table or list of articles on which import or export duties are levied, with the amount of the duty specified, hence often used as a collective term for the duties imposed, or for the law or code of regulations imposing such duties or varying the scale of charges. The word is also used quite widely of any schedule of prices or charges, and, particularly in America, of the freight or other charges of a railway or steamship line.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Resort is made to tariffs, or duties on imports, partly to secure revenue, partly to affect the course of industry within a country. Strictly speaking, these two objects are inconsistent with each other; since a customs duty, in so far as it causes a domestic in</w:t>
        <w:softHyphen/>
        <w:t>dustry rather than a foreign to supply the market, ceases to be a source of revenue. But in a great number of cases the imposi</w:t>
        <w:softHyphen/>
        <w:t>tion of a duty causes only a partial displacement of the foreign supply, and hence brings some revenue from that which remains. This circumstance strengthens the hold of the protective system, especially in countries where customs duties are an important source of revenue, the combination of fiscal convenience and of protection to home industry being a highly attractive one. Where tariff duties are imposed solely for revenue, an equivalent excise tax is imposed within the country, so as to put the domestic producer precisely on the footing of his foreign</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Onkelos,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p. 124 f.</w:t>
      </w:r>
    </w:p>
    <w:p>
      <w:pPr>
        <w:pStyle w:val="Style3"/>
        <w:keepNext w:val="0"/>
        <w:keepLines w:val="0"/>
        <w:widowControl w:val="0"/>
        <w:shd w:val="clear" w:color="auto" w:fill="auto"/>
        <w:tabs>
          <w:tab w:pos="337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Z.D.M.G</w:t>
      </w:r>
      <w:r>
        <w:rPr>
          <w:rFonts w:ascii="Times New Roman" w:eastAsia="Times New Roman" w:hAnsi="Times New Roman" w:cs="Times New Roman"/>
          <w:color w:val="000000"/>
          <w:spacing w:val="0"/>
          <w:w w:val="100"/>
          <w:position w:val="0"/>
          <w:sz w:val="17"/>
          <w:szCs w:val="17"/>
          <w:shd w:val="clear" w:color="auto" w:fill="auto"/>
          <w:lang w:val="en-US" w:eastAsia="en-US" w:bidi="en-US"/>
        </w:rPr>
        <w:t>. xxviii. and xxix.</w:t>
        <w:tab/>
      </w:r>
    </w:p>
    <w:p>
      <w:pPr>
        <w:pStyle w:val="Style3"/>
        <w:keepNext w:val="0"/>
        <w:keepLines w:val="0"/>
        <w:widowControl w:val="0"/>
        <w:shd w:val="clear" w:color="auto" w:fill="auto"/>
        <w:tabs>
          <w:tab w:pos="337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Gramm.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29.</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Jüdische Monatschrift,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 208 f., xxi. 408 f., 462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Gramm.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Dathe,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ratione consensus versionis chaldaicae et syriacae, proverbiorum Salomonis,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Rosenmüller, 1814; cf.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Maybaum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Nöldeke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Merx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Archiv.,</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and Baumgartner,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Étude critique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sur l'état du texte du livre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Proverbs,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7</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Cf.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Pinkuss,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Die syrische Uebersetzung der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Proverbien, Z.A.T.W.,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1894.</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 V.</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 </w:t>
      </w:r>
      <w:r>
        <w:rPr>
          <w:rFonts w:ascii="Times New Roman" w:eastAsia="Times New Roman" w:hAnsi="Times New Roman" w:cs="Times New Roman"/>
          <w:color w:val="000000"/>
          <w:spacing w:val="0"/>
          <w:w w:val="100"/>
          <w:position w:val="0"/>
          <w:sz w:val="17"/>
          <w:szCs w:val="17"/>
          <w:shd w:val="clear" w:color="auto" w:fill="auto"/>
          <w:lang w:val="en-US" w:eastAsia="en-US" w:bidi="en-US"/>
        </w:rPr>
        <w:t>83.</w:t>
      </w:r>
    </w:p>
    <w:p>
      <w:pPr>
        <w:pStyle w:val="Style3"/>
        <w:keepNext w:val="0"/>
        <w:keepLines w:val="0"/>
        <w:widowControl w:val="0"/>
        <w:shd w:val="clear" w:color="auto" w:fill="auto"/>
        <w:bidi w:val="0"/>
        <w:spacing w:line="21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9</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Rosenberg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Kohler in Geiger’s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Jüdische Zeitschrift,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1870.</w:t>
      </w:r>
    </w:p>
    <w:p>
      <w:pPr>
        <w:widowControl w:val="0"/>
        <w:spacing w:line="1" w:lineRule="exact"/>
      </w:pPr>
    </w:p>
    <w:sectPr>
      <w:footnotePr>
        <w:pos w:val="pageBottom"/>
        <w:numFmt w:val="decimal"/>
        <w:numRestart w:val="continuous"/>
      </w:footnotePr>
      <w:type w:val="continuous"/>
      <w:pgSz w:w="12240" w:h="15840"/>
      <w:pgMar w:top="1140" w:left="1075" w:right="739"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