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sewers </w:t>
      </w:r>
      <w:r>
        <w:rPr>
          <w:rFonts w:ascii="Times New Roman" w:eastAsia="Times New Roman" w:hAnsi="Times New Roman" w:cs="Times New Roman"/>
          <w:i/>
          <w:iCs/>
          <w:color w:val="000000"/>
          <w:spacing w:val="0"/>
          <w:w w:val="100"/>
          <w:position w:val="0"/>
          <w:shd w:val="clear" w:color="auto" w:fill="auto"/>
          <w:lang w:val="en-US" w:eastAsia="en-US" w:bidi="en-US"/>
        </w:rPr>
        <w:t>(cloacae),</w:t>
      </w:r>
      <w:r>
        <w:rPr>
          <w:rFonts w:ascii="Times New Roman" w:eastAsia="Times New Roman" w:hAnsi="Times New Roman" w:cs="Times New Roman"/>
          <w:color w:val="000000"/>
          <w:spacing w:val="0"/>
          <w:w w:val="100"/>
          <w:position w:val="0"/>
          <w:shd w:val="clear" w:color="auto" w:fill="auto"/>
          <w:lang w:val="en-US" w:eastAsia="en-US" w:bidi="en-US"/>
        </w:rPr>
        <w:t xml:space="preserve"> and began the construction of the temple of Jupiter on the Capitol. He carried on war success</w:t>
        <w:softHyphen/>
        <w:t xml:space="preserve">fully against the Sabines and subjugated </w:t>
      </w:r>
      <w:r>
        <w:rPr>
          <w:rFonts w:ascii="Times New Roman" w:eastAsia="Times New Roman" w:hAnsi="Times New Roman" w:cs="Times New Roman"/>
          <w:color w:val="000000"/>
          <w:spacing w:val="0"/>
          <w:w w:val="100"/>
          <w:position w:val="0"/>
          <w:shd w:val="clear" w:color="auto" w:fill="auto"/>
          <w:lang w:val="fr-FR" w:eastAsia="fr-FR" w:bidi="fr-FR"/>
        </w:rPr>
        <w:t xml:space="preserve">Latium. </w:t>
      </w:r>
      <w:r>
        <w:rPr>
          <w:rFonts w:ascii="Times New Roman" w:eastAsia="Times New Roman" w:hAnsi="Times New Roman" w:cs="Times New Roman"/>
          <w:color w:val="000000"/>
          <w:spacing w:val="0"/>
          <w:w w:val="100"/>
          <w:position w:val="0"/>
          <w:shd w:val="clear" w:color="auto" w:fill="auto"/>
          <w:lang w:val="en-US" w:eastAsia="en-US" w:bidi="en-US"/>
        </w:rPr>
        <w:t xml:space="preserve">He is said to have raised the number of the senators to 3∞, and to have doubled the number of the knights (see </w:t>
      </w:r>
      <w:r>
        <w:rPr>
          <w:rFonts w:ascii="Times New Roman" w:eastAsia="Times New Roman" w:hAnsi="Times New Roman" w:cs="Times New Roman"/>
          <w:smallCaps/>
          <w:color w:val="000000"/>
          <w:spacing w:val="0"/>
          <w:w w:val="100"/>
          <w:position w:val="0"/>
          <w:shd w:val="clear" w:color="auto" w:fill="auto"/>
          <w:lang w:val="en-US" w:eastAsia="en-US" w:bidi="en-US"/>
        </w:rPr>
        <w:t>Navius, Attus).</w:t>
      </w:r>
      <w:r>
        <w:rPr>
          <w:rFonts w:ascii="Times New Roman" w:eastAsia="Times New Roman" w:hAnsi="Times New Roman" w:cs="Times New Roman"/>
          <w:color w:val="000000"/>
          <w:spacing w:val="0"/>
          <w:w w:val="100"/>
          <w:position w:val="0"/>
          <w:shd w:val="clear" w:color="auto" w:fill="auto"/>
          <w:lang w:val="en-US" w:eastAsia="en-US" w:bidi="en-US"/>
        </w:rPr>
        <w:t xml:space="preserve"> The introduction of many of the insignia both of war and of civil office is assigned to his reign, and he was the first to celebrate a Roman triumph, after the Etruscan fashion, in a robe of purple and gold, and borne on a chariot drawn by four horses. He was assassinated at the instigation of the sons of Ancus Marcius.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legend of Tarquinius Priscus is in the main a reproduc</w:t>
        <w:softHyphen/>
        <w:t>tion of those of Romulus and Tullus Hostilius. His Corinthian descent, invented by the Greeks to establish a close connexion with Rome, is impossible for chronological reasons; further, according to the genuine Roman tradition, the Tarquinii were of Etruscan, not Greek, origin. There seems to have been originally only one Tarquinius; later, when a connected story of the legendary period was constructed, two (distinguished as the “ Elder ” and the “ Proud ”) were introduced, separated by the reign of Servius Tullius, and the name of both was con</w:t>
        <w:softHyphen/>
        <w:t>nected with the same events. Thus, certain public works were said to have been begun by the earlier and finished by the later king; both instituted games, acquired the Sibylline books, and reorganized the army.</w:t>
      </w:r>
    </w:p>
    <w:p>
      <w:pPr>
        <w:pStyle w:val="Style3"/>
        <w:keepNext w:val="0"/>
        <w:keepLines w:val="0"/>
        <w:widowControl w:val="0"/>
        <w:shd w:val="clear" w:color="auto" w:fill="auto"/>
        <w:bidi w:val="0"/>
        <w:spacing w:line="17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constitutional reforms attributed to Tarquinius,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Rome: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Ancient History;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a critical examination of the story,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Schwegler,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Römische Geschichte,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bk. xv.; Sir George Cornewall Lewis,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Credibility 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early Roman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ch. 11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 Ihne,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Rome,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 ; 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Storia di Roma,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(1898), who identifies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Tarquinius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Tarpeius,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eponymus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Tarpeian rock, subsequently developed into the wicked king Tarquinius Superbus. Ancient authorities:—Livy i. 34-41; Dion. Hal. iii. 46-73; Cic.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Repub.</w:t>
      </w:r>
      <w:r>
        <w:rPr>
          <w:rFonts w:ascii="Times New Roman" w:eastAsia="Times New Roman" w:hAnsi="Times New Roman" w:cs="Times New Roman"/>
          <w:color w:val="000000"/>
          <w:spacing w:val="0"/>
          <w:w w:val="100"/>
          <w:position w:val="0"/>
          <w:sz w:val="17"/>
          <w:szCs w:val="17"/>
          <w:shd w:val="clear" w:color="auto" w:fill="auto"/>
          <w:lang w:val="en-US" w:eastAsia="en-US" w:bidi="en-US"/>
        </w:rPr>
        <w:t>, ii. 200.</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TARQUINIUS SUPERBUS, LUCIUS, </w:t>
      </w:r>
      <w:r>
        <w:rPr>
          <w:rFonts w:ascii="Times New Roman" w:eastAsia="Times New Roman" w:hAnsi="Times New Roman" w:cs="Times New Roman"/>
          <w:color w:val="000000"/>
          <w:spacing w:val="0"/>
          <w:w w:val="100"/>
          <w:position w:val="0"/>
          <w:shd w:val="clear" w:color="auto" w:fill="auto"/>
          <w:lang w:val="en-US" w:eastAsia="en-US" w:bidi="en-US"/>
        </w:rPr>
        <w:t xml:space="preserve">son of Lucius Tarquinius Priscus and son-in-law of Servius Tullius, the seventh and last legendary king of Rome (534-510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On his accession he proceeded at once to repeal the recent reforms in the constitu</w:t>
        <w:softHyphen/>
        <w:t xml:space="preserve">tion, and attempted to set up a pure despotism. Many senators were put to death, and their places remained unfilled; the lower classes were deprived of their arms and employed in erecting splendid monuments, while the army was recruited from the king’s own retainers and from the forces of foreign allies. The completion of the fortress-temple on the </w:t>
      </w:r>
      <w:r>
        <w:rPr>
          <w:rFonts w:ascii="Times New Roman" w:eastAsia="Times New Roman" w:hAnsi="Times New Roman" w:cs="Times New Roman"/>
          <w:color w:val="000000"/>
          <w:spacing w:val="0"/>
          <w:w w:val="100"/>
          <w:position w:val="0"/>
          <w:shd w:val="clear" w:color="auto" w:fill="auto"/>
          <w:lang w:val="fr-FR" w:eastAsia="fr-FR" w:bidi="fr-FR"/>
        </w:rPr>
        <w:t xml:space="preserve">Capitoline </w:t>
      </w:r>
      <w:r>
        <w:rPr>
          <w:rFonts w:ascii="Times New Roman" w:eastAsia="Times New Roman" w:hAnsi="Times New Roman" w:cs="Times New Roman"/>
          <w:color w:val="000000"/>
          <w:spacing w:val="0"/>
          <w:w w:val="100"/>
          <w:position w:val="0"/>
          <w:shd w:val="clear" w:color="auto" w:fill="auto"/>
          <w:lang w:val="en-US" w:eastAsia="en-US" w:bidi="en-US"/>
        </w:rPr>
        <w:t xml:space="preserve">confirmed his authority over the city, and a fortunate marriage of his son to the daughter of Octavius Mamilius of Tusculum secured him powerful assistance in the field. His reign was characterized by bloodshed and violence; the outrage of his son Sextus upon Lucretia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precipitated a revolt, which led to the expulsion of the entire family. All Tarquinius’s efforts to force his way back to the throne were vain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Porsenλ), </w:t>
      </w:r>
      <w:r>
        <w:rPr>
          <w:rFonts w:ascii="Times New Roman" w:eastAsia="Times New Roman" w:hAnsi="Times New Roman" w:cs="Times New Roman"/>
          <w:color w:val="000000"/>
          <w:spacing w:val="0"/>
          <w:w w:val="100"/>
          <w:position w:val="0"/>
          <w:shd w:val="clear" w:color="auto" w:fill="auto"/>
          <w:lang w:val="en-US" w:eastAsia="en-US" w:bidi="en-US"/>
        </w:rPr>
        <w:t>and he died in exile at Cumae.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story certain Greek elements, probably later additions, may easily be distinguished. Tarquinius appears as a Greek “ tyrant ” of the ordinary kind, who surrounds himself with a bodyguard and erects magnificent buildings to keep the people employed; on the other hand, an older tradition represents him as more like Romulus. This twofold aspect of his character perhaps accounts for the making of two Tarquinii out of one (see </w:t>
      </w:r>
      <w:r>
        <w:rPr>
          <w:rFonts w:ascii="Times New Roman" w:eastAsia="Times New Roman" w:hAnsi="Times New Roman" w:cs="Times New Roman"/>
          <w:smallCaps/>
          <w:color w:val="000000"/>
          <w:spacing w:val="0"/>
          <w:w w:val="100"/>
          <w:position w:val="0"/>
          <w:shd w:val="clear" w:color="auto" w:fill="auto"/>
          <w:lang w:val="en-US" w:eastAsia="en-US" w:bidi="en-US"/>
        </w:rPr>
        <w:t>Tarquinius Priscus).</w:t>
      </w:r>
      <w:r>
        <w:rPr>
          <w:rFonts w:ascii="Times New Roman" w:eastAsia="Times New Roman" w:hAnsi="Times New Roman" w:cs="Times New Roman"/>
          <w:color w:val="000000"/>
          <w:spacing w:val="0"/>
          <w:w w:val="100"/>
          <w:position w:val="0"/>
          <w:shd w:val="clear" w:color="auto" w:fill="auto"/>
          <w:lang w:val="en-US" w:eastAsia="en-US" w:bidi="en-US"/>
        </w:rPr>
        <w:t xml:space="preserve"> The stratagem by which Tar</w:t>
        <w:softHyphen/>
        <w:t xml:space="preserve">quinius obtained possession of the town of Gabii is a mere fiction, derived from Greek and Oriental sources. According to arrangement, his son Sextus requested the protection of the inhabitants against his father. Having obtained their confidence, he sent a messenger to Tarquinius to inquire the next step. His father made no reply to the messenger, but walked up and down his garden, striking off the heads of the tallest poppies. Sextus thereupon put to death all the chief men of the town, and thus obtained the mastery. The stratagem of Sextus is that practised by Zopyrus is the case of Babylon, while the episode of the poppy-heads is borrowed from the advice given by Thrasybulus to </w:t>
      </w:r>
      <w:r>
        <w:rPr>
          <w:rFonts w:ascii="Times New Roman" w:eastAsia="Times New Roman" w:hAnsi="Times New Roman" w:cs="Times New Roman"/>
          <w:color w:val="000000"/>
          <w:spacing w:val="0"/>
          <w:w w:val="100"/>
          <w:position w:val="0"/>
          <w:shd w:val="clear" w:color="auto" w:fill="auto"/>
          <w:lang w:val="de-DE" w:eastAsia="de-DE" w:bidi="de-DE"/>
        </w:rPr>
        <w:t xml:space="preserve">Periander </w:t>
      </w:r>
      <w:r>
        <w:rPr>
          <w:rFonts w:ascii="Times New Roman" w:eastAsia="Times New Roman" w:hAnsi="Times New Roman" w:cs="Times New Roman"/>
          <w:color w:val="000000"/>
          <w:spacing w:val="0"/>
          <w:w w:val="100"/>
          <w:position w:val="0"/>
          <w:shd w:val="clear" w:color="auto" w:fill="auto"/>
          <w:lang w:val="en-US" w:eastAsia="en-US" w:bidi="en-US"/>
        </w:rPr>
        <w:t xml:space="preserve">(Herodotus iii. 154, v. 92). On the other hand, the existence in the time of Dionysius of Halicarnassus of a treaty concluded between </w:t>
      </w:r>
      <w:r>
        <w:rPr>
          <w:rFonts w:ascii="Times New Roman" w:eastAsia="Times New Roman" w:hAnsi="Times New Roman" w:cs="Times New Roman"/>
          <w:color w:val="000000"/>
          <w:spacing w:val="0"/>
          <w:w w:val="100"/>
          <w:position w:val="0"/>
          <w:shd w:val="clear" w:color="auto" w:fill="auto"/>
          <w:lang w:val="en-US" w:eastAsia="en-US" w:bidi="en-US"/>
        </w:rPr>
        <w:t xml:space="preserve">Tarquinius and the inhabitants of Gabii, shows that the town came under his dominion by formal agreement, not, as the tradition states, by treachery and violence. The embassy to Delphi (see </w:t>
      </w:r>
      <w:r>
        <w:rPr>
          <w:rFonts w:ascii="Times New Roman" w:eastAsia="Times New Roman" w:hAnsi="Times New Roman" w:cs="Times New Roman"/>
          <w:smallCaps/>
          <w:color w:val="000000"/>
          <w:spacing w:val="0"/>
          <w:w w:val="100"/>
          <w:position w:val="0"/>
          <w:shd w:val="clear" w:color="auto" w:fill="auto"/>
          <w:lang w:val="en-US" w:eastAsia="en-US" w:bidi="en-US"/>
        </w:rPr>
        <w:t>Brutus, Lucius Junius)</w:t>
      </w:r>
      <w:r>
        <w:rPr>
          <w:rFonts w:ascii="Times New Roman" w:eastAsia="Times New Roman" w:hAnsi="Times New Roman" w:cs="Times New Roman"/>
          <w:color w:val="000000"/>
          <w:spacing w:val="0"/>
          <w:w w:val="100"/>
          <w:position w:val="0"/>
          <w:shd w:val="clear" w:color="auto" w:fill="auto"/>
          <w:lang w:val="en-US" w:eastAsia="en-US" w:bidi="en-US"/>
        </w:rPr>
        <w:t xml:space="preserve"> cannot be historical, since at the time there was no communication between Rome and the mainland of Greece. The well-known story of Tarquinius’s repeated refusal and final consent to purchase the Sibylline books has its origin in the fact that the building of the temple of Jupiter Capitolinus, in which they were kept, was ascribed to him. The traditional account of his expulsion can hardly be historical. A constitutional revolution, involv</w:t>
        <w:softHyphen/>
        <w:t>ing such far-reaching changes, is not likely to have been carried out in primitive times with so little disturbance by a simple resolution of the people, and it probably points to a rising of Romans and Sabines against the dominion of an Etruscan family (Tarquinii, Tarchna) at that time established at Rome.</w:t>
      </w:r>
    </w:p>
    <w:p>
      <w:pPr>
        <w:pStyle w:val="Style3"/>
        <w:keepNext w:val="0"/>
        <w:keepLines w:val="0"/>
        <w:widowControl w:val="0"/>
        <w:shd w:val="clear" w:color="auto" w:fill="auto"/>
        <w:bidi w:val="0"/>
        <w:spacing w:line="17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 critical examination of the story see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Schwegler,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Römische Geschichte,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bk. xviii. ; Sir G. Cornewall Lewis,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Credibility 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early Roman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11;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 Pais,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Storia di Roma,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i. (1898);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for the political character of his reign,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Rome: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Ancient History. </w:t>
      </w:r>
      <w:r>
        <w:rPr>
          <w:rFonts w:ascii="Times New Roman" w:eastAsia="Times New Roman" w:hAnsi="Times New Roman" w:cs="Times New Roman"/>
          <w:color w:val="000000"/>
          <w:spacing w:val="0"/>
          <w:w w:val="100"/>
          <w:position w:val="0"/>
          <w:sz w:val="17"/>
          <w:szCs w:val="17"/>
          <w:shd w:val="clear" w:color="auto" w:fill="auto"/>
          <w:lang w:val="en-US" w:eastAsia="en-US" w:bidi="en-US"/>
        </w:rPr>
        <w:t>Ancient authorities:—Livy i. 21; Dion. Hal. v. 1-vi. 21.</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TARRAGONA, </w:t>
      </w:r>
      <w:r>
        <w:rPr>
          <w:rFonts w:ascii="Times New Roman" w:eastAsia="Times New Roman" w:hAnsi="Times New Roman" w:cs="Times New Roman"/>
          <w:color w:val="000000"/>
          <w:spacing w:val="0"/>
          <w:w w:val="100"/>
          <w:position w:val="0"/>
          <w:shd w:val="clear" w:color="auto" w:fill="auto"/>
          <w:lang w:val="en-US" w:eastAsia="en-US" w:bidi="en-US"/>
        </w:rPr>
        <w:t>a maritime province in the north-east of Spain, formed in 1833 from the southern part of the province of Catalonia, and bounded on the S.E. by the Mediterranean, N.E. by Barcelona, N. by Lerida, W. by Saragossa and Teruel, and S.W. by Castellon de la Plana. Pop. (1900) 337,964; area, 2505 sq. m. The Ebro flows through the southern portion of the province, and the other chief streams are the Gaya and the Francoli. These three rivers flow south into the Medi</w:t>
        <w:softHyphen/>
        <w:t>terranean. Below Tortosa, the Ebro forms a conspicuous marshy delta jutting out into the sea, but elsewhere the even south-westward curve of the coast-line is unbroken by any noteworthy headland or indentation. The province, although mountainous, is naturally fertile. The hills are clothed with vineyards, which produce excellent wines, arid in the valleys are cultivated all kinds of grain, vegetables, rice, hemp, flax and silk. Olive, orange, filbert and almond trees reach great perfection, and the mountains yield rich pastures and timber trees of various kinds. The climate is temperate on the coast and in the centre, cold in the highlands, very warm and damp in the valleys and on the banks of the rivers as they near the sea. Manufactures are well advanced, and comprise silk, cotton, linen and woollen fabrics, velvet, felt, soap, leather and spirits. There are also many potteries and cooperages, and flour, paper and oil mills. Silver, copper, lead and other minerals have been found, and quarries of marble and jasper are worked in the hills. The fisheries produce more than £20,000 yearly. There are upwards of 250 m. of railways, which link together all the large towns, and include the im</w:t>
        <w:softHyphen/>
        <w:t>portant main lines along the coast and up the Ebro valley. The cities of Tarragona (pop., 1900, 23,423) and Tortosa (24,452), which are the principal seaports, and the towns of Reus (26,681) and Valls (12,625) are described in separate articles. Mont- blanch (5243) is the only other town with a population ex</w:t>
        <w:softHyphen/>
        <w:t>ceeding 5000. The people of Tarragona are, like almost all the inhabitants of Catalonia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hardy, enterprising and in</w:t>
        <w:softHyphen/>
        <w:t>dustrious. Although the birth-rate considerably exceeds the death-rate, the population tends to decrease slightly, as many families emigrate.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TARRAGONA </w:t>
      </w:r>
      <w:r>
        <w:rPr>
          <w:rFonts w:ascii="Times New Roman" w:eastAsia="Times New Roman" w:hAnsi="Times New Roman" w:cs="Times New Roman"/>
          <w:color w:val="000000"/>
          <w:spacing w:val="0"/>
          <w:w w:val="100"/>
          <w:position w:val="0"/>
          <w:shd w:val="clear" w:color="auto" w:fill="auto"/>
          <w:lang w:val="en-US" w:eastAsia="en-US" w:bidi="en-US"/>
        </w:rPr>
        <w:t xml:space="preserve">(anc. </w:t>
      </w:r>
      <w:r>
        <w:rPr>
          <w:rFonts w:ascii="Times New Roman" w:eastAsia="Times New Roman" w:hAnsi="Times New Roman" w:cs="Times New Roman"/>
          <w:i/>
          <w:iCs/>
          <w:color w:val="000000"/>
          <w:spacing w:val="0"/>
          <w:w w:val="100"/>
          <w:position w:val="0"/>
          <w:shd w:val="clear" w:color="auto" w:fill="auto"/>
          <w:lang w:val="en-US" w:eastAsia="en-US" w:bidi="en-US"/>
        </w:rPr>
        <w:t>Tarraco),</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Spanish pro</w:t>
        <w:softHyphen/>
        <w:t>vince of Tarragona, a flourishing seaport, and the seat of an archbishop; at the mouth of the river Francoli, 63 m. by rail W.S.W. of Barcelona, in 41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10' N. and 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20' E. Pop. (1900) 23,423. Tarragona is on the coast railway from Barcelona to Valencia, and is connected with the Ebro Valley Railway by a branch line to Reus. The picturesque old town, with its dark and steep alleys, occupies a rugged hill which rises abruptly from the sea to an altitude of about 550 ft. Its highest point, where the ancient citadel stood, is crowned by the cathedral, the seminary for priests, and the palace of the archbishop, who shares the title primate of Spain with the archbishop of Toledo. Many of the houses in this quarter are very old, and are built</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