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house inspired Tavernier with an early desire to travel, and in his sixteenth year he had already visited England, the Low Countries and Germany, and seen something of war with the imperialist Colonel Ilans Brenner, whom he met at Nuremberg. Four and a half years in the household of Brenner’s unde, the viceroy of Hungary (1624-29), and a briefer connexion in 1629 with the duke of Rethel and his father the duke of Nevers, prince of Mantua, gave him the habit of courts, which was invaluable to him in later years; and at the defence of Mantua in 1629, and in Germany in the following year with Colonel Walter Butler (afterwards notorious through the death of Wallenstein), he gained some military experience. When he left Butler to view the diet of </w:t>
      </w:r>
      <w:r>
        <w:rPr>
          <w:rFonts w:ascii="Times New Roman" w:eastAsia="Times New Roman" w:hAnsi="Times New Roman" w:cs="Times New Roman"/>
          <w:color w:val="000000"/>
          <w:spacing w:val="0"/>
          <w:w w:val="100"/>
          <w:position w:val="0"/>
          <w:shd w:val="clear" w:color="auto" w:fill="auto"/>
          <w:lang w:val="fr-FR" w:eastAsia="fr-FR" w:bidi="fr-FR"/>
        </w:rPr>
        <w:t xml:space="preserve">Ratisbon </w:t>
      </w:r>
      <w:r>
        <w:rPr>
          <w:rFonts w:ascii="Times New Roman" w:eastAsia="Times New Roman" w:hAnsi="Times New Roman" w:cs="Times New Roman"/>
          <w:color w:val="000000"/>
          <w:spacing w:val="0"/>
          <w:w w:val="100"/>
          <w:position w:val="0"/>
          <w:shd w:val="clear" w:color="auto" w:fill="auto"/>
          <w:lang w:val="en-US" w:eastAsia="en-US" w:bidi="en-US"/>
        </w:rPr>
        <w:t>in 1630, he had seen Italy, Switzerland, Germany, Poland and Hungary, as well as France, England and the Low Countries, and spoke the prin</w:t>
        <w:softHyphen/>
        <w:t xml:space="preserve">cipal languages of these countries. He was now eager to visit the East; and at </w:t>
      </w:r>
      <w:r>
        <w:rPr>
          <w:rFonts w:ascii="Times New Roman" w:eastAsia="Times New Roman" w:hAnsi="Times New Roman" w:cs="Times New Roman"/>
          <w:color w:val="000000"/>
          <w:spacing w:val="0"/>
          <w:w w:val="100"/>
          <w:position w:val="0"/>
          <w:shd w:val="clear" w:color="auto" w:fill="auto"/>
          <w:lang w:val="fr-FR" w:eastAsia="fr-FR" w:bidi="fr-FR"/>
        </w:rPr>
        <w:t xml:space="preserve">Ratisbon </w:t>
      </w:r>
      <w:r>
        <w:rPr>
          <w:rFonts w:ascii="Times New Roman" w:eastAsia="Times New Roman" w:hAnsi="Times New Roman" w:cs="Times New Roman"/>
          <w:color w:val="000000"/>
          <w:spacing w:val="0"/>
          <w:w w:val="100"/>
          <w:position w:val="0"/>
          <w:shd w:val="clear" w:color="auto" w:fill="auto"/>
          <w:lang w:val="en-US" w:eastAsia="en-US" w:bidi="en-US"/>
        </w:rPr>
        <w:t>he found the opportunity to join two French fathers, Μ. de Chapes and Μ. de St Liebau, who had received a mission to the Levant. In their company he reached Constantinople early in 1631, where he spent eleven months, and then proceeded by Tokat, Erzerum and Erivan to Persia. His farthest point in this first journey was Ispahan ; he returned by Bagdad, Aleppo, Alexandretta, Malta and Italy, and was again in Paris in 1633. Of the next five years of his life nothing is known with certainty, but it was probably during this period that he became controller of the household of the duke of Orleans. In September 1638 he began a second journey (1638-43) by Aleppo to Persia, and thence to India as far as Agra and Golconda. His visit to the court of the Great Mogul and to the diamond mines was connected with the plans realized more fully in his later voyages, in which Tavernier travelled as a merchant of the highest rank, trading in costly jewels and other precious wares, and finding his chief customers among the greatest princes of the East. The second journey was followed by four others. In his third (1643-49) he went as far as Java and returned by the Cape; but his relations with the Dutch proved not wholly satisfactory, and a long lawsuit on his return yielded but imperfect redress. In his last three journeys (1651-55, 1657-62, 1664-68) he did not proceed beyond India. The details of these voyages are often obscure; but they completed an extraordinary knowledge of the routes of overland Eastern trade, and brought the now famous merchant into close and friendly communication with the greatest Oriental potentates. They also secured for him a large fortune and great reputation at home. He was presented to Louis XIV., “ in whose service he had travelled sixty thousand leagues by land,” received letters of nobility (on the 16th of February 1669), and in the following year purchased the barony of Aubonne, near Geneva. In 1662 he had married Madeleine Goisse, daughter of a Parisian jeweller.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settled in ease and affluence, Tavernier occupied him</w:t>
        <w:softHyphen/>
        <w:t xml:space="preserve">self, as it would seem at the desire of the king, in publishing the account of his journeys. He had neither the equipment nor the tastes of a scientific traveller, but in all that referred to commerce his knowledge was vast and could not fail to be of much public service. He set to work therefore with the aid of Samuel Chappuzeau, a French Protestant </w:t>
      </w:r>
      <w:r>
        <w:rPr>
          <w:rFonts w:ascii="Times New Roman" w:eastAsia="Times New Roman" w:hAnsi="Times New Roman" w:cs="Times New Roman"/>
          <w:color w:val="000000"/>
          <w:spacing w:val="0"/>
          <w:w w:val="100"/>
          <w:position w:val="0"/>
          <w:shd w:val="clear" w:color="auto" w:fill="auto"/>
          <w:lang w:val="fr-FR" w:eastAsia="fr-FR" w:bidi="fr-FR"/>
        </w:rPr>
        <w:t xml:space="preserve">littérateur, </w:t>
      </w:r>
      <w:r>
        <w:rPr>
          <w:rFonts w:ascii="Times New Roman" w:eastAsia="Times New Roman" w:hAnsi="Times New Roman" w:cs="Times New Roman"/>
          <w:color w:val="000000"/>
          <w:spacing w:val="0"/>
          <w:w w:val="100"/>
          <w:position w:val="0"/>
          <w:shd w:val="clear" w:color="auto" w:fill="auto"/>
          <w:lang w:val="en-US" w:eastAsia="en-US" w:bidi="en-US"/>
        </w:rPr>
        <w:t xml:space="preserve">and produced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Nouvelle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Relation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l'intérieur du Sérail </w:t>
      </w:r>
      <w:r>
        <w:rPr>
          <w:rFonts w:ascii="Times New Roman" w:eastAsia="Times New Roman" w:hAnsi="Times New Roman" w:cs="Times New Roman"/>
          <w:i/>
          <w:iCs/>
          <w:color w:val="000000"/>
          <w:spacing w:val="0"/>
          <w:w w:val="100"/>
          <w:position w:val="0"/>
          <w:shd w:val="clear" w:color="auto" w:fill="auto"/>
          <w:lang w:val="en-US" w:eastAsia="en-US" w:bidi="en-US"/>
        </w:rPr>
        <w:t>du Grand Seigneur</w:t>
      </w:r>
      <w:r>
        <w:rPr>
          <w:rFonts w:ascii="Times New Roman" w:eastAsia="Times New Roman" w:hAnsi="Times New Roman" w:cs="Times New Roman"/>
          <w:color w:val="000000"/>
          <w:spacing w:val="0"/>
          <w:w w:val="100"/>
          <w:position w:val="0"/>
          <w:shd w:val="clear" w:color="auto" w:fill="auto"/>
          <w:lang w:val="en-US" w:eastAsia="en-US" w:bidi="en-US"/>
        </w:rPr>
        <w:t xml:space="preserve"> (4t0, Paris, 1675), based on two visits to Constanti</w:t>
        <w:softHyphen/>
        <w:t xml:space="preserve">nople in his first and sixth journeys. This was followed by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Six Voyages de J. B. Tavernier</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4to, Paris, 1676) and by a supplementary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Recueil de Plusieurs </w:t>
      </w:r>
      <w:r>
        <w:rPr>
          <w:rFonts w:ascii="Times New Roman" w:eastAsia="Times New Roman" w:hAnsi="Times New Roman" w:cs="Times New Roman"/>
          <w:i/>
          <w:iCs/>
          <w:color w:val="000000"/>
          <w:spacing w:val="0"/>
          <w:w w:val="100"/>
          <w:position w:val="0"/>
          <w:shd w:val="clear" w:color="auto" w:fill="auto"/>
          <w:lang w:val="en-US" w:eastAsia="en-US" w:bidi="en-US"/>
        </w:rPr>
        <w:t>Relations</w:t>
      </w:r>
      <w:r>
        <w:rPr>
          <w:rFonts w:ascii="Times New Roman" w:eastAsia="Times New Roman" w:hAnsi="Times New Roman" w:cs="Times New Roman"/>
          <w:color w:val="000000"/>
          <w:spacing w:val="0"/>
          <w:w w:val="100"/>
          <w:position w:val="0"/>
          <w:shd w:val="clear" w:color="auto" w:fill="auto"/>
          <w:lang w:val="en-US" w:eastAsia="en-US" w:bidi="en-US"/>
        </w:rPr>
        <w:t xml:space="preserve"> (4t0, Paris, 1679), in which he was assisted by a certain </w:t>
      </w:r>
      <w:r>
        <w:rPr>
          <w:rFonts w:ascii="Times New Roman" w:eastAsia="Times New Roman" w:hAnsi="Times New Roman" w:cs="Times New Roman"/>
          <w:color w:val="000000"/>
          <w:spacing w:val="0"/>
          <w:w w:val="100"/>
          <w:position w:val="0"/>
          <w:shd w:val="clear" w:color="auto" w:fill="auto"/>
          <w:lang w:val="fr-FR" w:eastAsia="fr-FR" w:bidi="fr-FR"/>
        </w:rPr>
        <w:t xml:space="preserve">La Chapelle. </w:t>
      </w:r>
      <w:r>
        <w:rPr>
          <w:rFonts w:ascii="Times New Roman" w:eastAsia="Times New Roman" w:hAnsi="Times New Roman" w:cs="Times New Roman"/>
          <w:color w:val="000000"/>
          <w:spacing w:val="0"/>
          <w:w w:val="100"/>
          <w:position w:val="0"/>
          <w:shd w:val="clear" w:color="auto" w:fill="auto"/>
          <w:lang w:val="en-US" w:eastAsia="en-US" w:bidi="en-US"/>
        </w:rPr>
        <w:t xml:space="preserve">This last contains an account of Japan, gathered from merchants and others, and one of Tongking, derived from the observations of his brother Daniel, who had shared his second voyage and settled at Batavia; it contained also a violent attack on the agents of the Dutch East India Company, at whose hands Tavernier had suffered more than one wrong. This attack was elaborately answered in Dutch by H. van Quellenburgh </w:t>
      </w:r>
      <w:r>
        <w:rPr>
          <w:rFonts w:ascii="Times New Roman" w:eastAsia="Times New Roman" w:hAnsi="Times New Roman" w:cs="Times New Roman"/>
          <w:i/>
          <w:iCs/>
          <w:color w:val="000000"/>
          <w:spacing w:val="0"/>
          <w:w w:val="100"/>
          <w:position w:val="0"/>
          <w:shd w:val="clear" w:color="auto" w:fill="auto"/>
          <w:lang w:val="fr-FR" w:eastAsia="fr-FR" w:bidi="fr-FR"/>
        </w:rPr>
        <w:t xml:space="preserve">(Vindiciæ </w:t>
      </w:r>
      <w:r>
        <w:rPr>
          <w:rFonts w:ascii="Times New Roman" w:eastAsia="Times New Roman" w:hAnsi="Times New Roman" w:cs="Times New Roman"/>
          <w:i/>
          <w:iCs/>
          <w:color w:val="000000"/>
          <w:spacing w:val="0"/>
          <w:w w:val="100"/>
          <w:position w:val="0"/>
          <w:shd w:val="clear" w:color="auto" w:fill="auto"/>
          <w:lang w:val="en-US" w:eastAsia="en-US" w:bidi="en-US"/>
        </w:rPr>
        <w:t>Batavicæ,</w:t>
      </w:r>
      <w:r>
        <w:rPr>
          <w:rFonts w:ascii="Times New Roman" w:eastAsia="Times New Roman" w:hAnsi="Times New Roman" w:cs="Times New Roman"/>
          <w:color w:val="000000"/>
          <w:spacing w:val="0"/>
          <w:w w:val="100"/>
          <w:position w:val="0"/>
          <w:shd w:val="clear" w:color="auto" w:fill="auto"/>
          <w:lang w:val="en-US" w:eastAsia="en-US" w:bidi="en-US"/>
        </w:rPr>
        <w:t xml:space="preserve"> Amst., 1684), but made more noise because Arnauld drew from it some material unfavourable to </w:t>
      </w:r>
      <w:r>
        <w:rPr>
          <w:rFonts w:ascii="Times New Roman" w:eastAsia="Times New Roman" w:hAnsi="Times New Roman" w:cs="Times New Roman"/>
          <w:color w:val="000000"/>
          <w:spacing w:val="0"/>
          <w:w w:val="100"/>
          <w:position w:val="0"/>
          <w:shd w:val="clear" w:color="auto" w:fill="auto"/>
          <w:lang w:val="en-US" w:eastAsia="en-US" w:bidi="en-US"/>
        </w:rPr>
        <w:t xml:space="preserve">Protestantism for his </w:t>
      </w:r>
      <w:r>
        <w:rPr>
          <w:rFonts w:ascii="Times New Roman" w:eastAsia="Times New Roman" w:hAnsi="Times New Roman" w:cs="Times New Roman"/>
          <w:i/>
          <w:iCs/>
          <w:color w:val="000000"/>
          <w:spacing w:val="0"/>
          <w:w w:val="100"/>
          <w:position w:val="0"/>
          <w:shd w:val="clear" w:color="auto" w:fill="auto"/>
          <w:lang w:val="fr-FR" w:eastAsia="fr-FR" w:bidi="fr-FR"/>
        </w:rPr>
        <w:t>Apologie pour les Catholiques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(1681), and so brought on the traveller a ferocious onslaught in Jurieu’s </w:t>
      </w:r>
      <w:r>
        <w:rPr>
          <w:rFonts w:ascii="Times New Roman" w:eastAsia="Times New Roman" w:hAnsi="Times New Roman" w:cs="Times New Roman"/>
          <w:i/>
          <w:iCs/>
          <w:color w:val="000000"/>
          <w:spacing w:val="0"/>
          <w:w w:val="100"/>
          <w:position w:val="0"/>
          <w:shd w:val="clear" w:color="auto" w:fill="auto"/>
          <w:lang w:val="en-US" w:eastAsia="en-US" w:bidi="en-US"/>
        </w:rPr>
        <w:t>Esprit de Μ. Arnauld</w:t>
      </w:r>
      <w:r>
        <w:rPr>
          <w:rFonts w:ascii="Times New Roman" w:eastAsia="Times New Roman" w:hAnsi="Times New Roman" w:cs="Times New Roman"/>
          <w:color w:val="000000"/>
          <w:spacing w:val="0"/>
          <w:w w:val="100"/>
          <w:position w:val="0"/>
          <w:shd w:val="clear" w:color="auto" w:fill="auto"/>
          <w:lang w:val="en-US" w:eastAsia="en-US" w:bidi="en-US"/>
        </w:rPr>
        <w:t xml:space="preserve"> (1684). Tavernier made no reply to Jurieu; he was in fact engaged in weightier matters, for in 1684 he travelled to Berlin at the invitation of the Great Elector, who commis</w:t>
        <w:softHyphen/>
        <w:t>sioned him to organize an Eastern trading company</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 project never realized. The closing years of Tavernier’s life are obscure; the time was not favourable for a Protestant, and it has even been supposed that he passed some time in the Bastille. What is certain is that he left Paris for Switzerland in 1687, that in 1689 he passed through Copenhagen on his way to Persia through Muscovy, and that in the same year he died at Moscow. It appears that he bad still business relations in the East, and that the neglect of these by his nephew, to whom they were intrusted, had determined the indefatigable old man to a fresh journey.</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Tavernier’s travels, though often reprinted and translated, have two defects the author uses other men’s material without dis</w:t>
        <w:softHyphen/>
        <w:t>tinguishing it from his own observations; and the narrative is much confused by his plan of often deserting the chronological order and giving instead notes from various journeys about certain routes. The latter defect, it is true, while it embarrasses the bio</w:t>
        <w:softHyphen/>
        <w:t>grapher, is hardly a blemish in view of the object of the writer, who sought mainly to furnish a guide to other merchants. 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careful attempt to disentangle the thread of a life still in many parts obscure has been made by Charles Joret,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Jean Baptiste Tavernier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d'après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Documents Nouveaux,</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8vo, Paris, 1886, where the literature of the subject is fully given.</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also an English translation of Tavernier’s account of his travels so far as relating to India, by V. Ball, 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(1889).</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TAVIRA, </w:t>
      </w:r>
      <w:r>
        <w:rPr>
          <w:rFonts w:ascii="Times New Roman" w:eastAsia="Times New Roman" w:hAnsi="Times New Roman" w:cs="Times New Roman"/>
          <w:color w:val="000000"/>
          <w:spacing w:val="0"/>
          <w:w w:val="100"/>
          <w:position w:val="0"/>
          <w:shd w:val="clear" w:color="auto" w:fill="auto"/>
          <w:lang w:val="en-US" w:eastAsia="en-US" w:bidi="en-US"/>
        </w:rPr>
        <w:t>a seaport of southern Portugal, in the district of Faro (formerly the province of Algarve); at the mouth of the river Seca, 21 m. E.N.E. of Faro. Pop. (1900) 12,175. The harbour is protected by two forts, and the public buildings include a Moorish citadel, a Renaissance church, and a ruined nunnery founded by King Emanuel (1495-1521). Tavira has sardine and tunny fisheries, and carries on a considerable coasting trade. Excellent fruit is grown in the neighbourhood.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TAVISTOCK, </w:t>
      </w:r>
      <w:r>
        <w:rPr>
          <w:rFonts w:ascii="Times New Roman" w:eastAsia="Times New Roman" w:hAnsi="Times New Roman" w:cs="Times New Roman"/>
          <w:color w:val="000000"/>
          <w:spacing w:val="0"/>
          <w:w w:val="100"/>
          <w:position w:val="0"/>
          <w:shd w:val="clear" w:color="auto" w:fill="auto"/>
          <w:lang w:val="en-US" w:eastAsia="en-US" w:bidi="en-US"/>
        </w:rPr>
        <w:t>a market town in the Tavistock parliamentary division of Devonshire, England, in the valley of the Tavy, on the western border of Dartmoor; 16</w:t>
      </w:r>
      <w:r>
        <w:rPr>
          <w:rFonts w:ascii="Cambria" w:eastAsia="Cambria" w:hAnsi="Cambria" w:cs="Cambria"/>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N. of Plymouth, on the Great Western and the London and South Western railways. Pop. of urban district (1901), 4728. There are some remains (including a portion in the square, now used as a public library established in 1799) of the magnificent abbey of St Mary and St Rumon, founded in 961 by Orgar, earl of Devon. After destruction by the Danes in 997 it was restored, and among its famous abbots were Lyfing, friend of Canute, and Aldred, who crowned Harold II. and William, and died archbishop of York. The abbey church was rebuilt in 1285, and the greater part of the abbey in 1457-58. The church of St </w:t>
      </w:r>
      <w:r>
        <w:rPr>
          <w:rFonts w:ascii="Times New Roman" w:eastAsia="Times New Roman" w:hAnsi="Times New Roman" w:cs="Times New Roman"/>
          <w:color w:val="000000"/>
          <w:spacing w:val="0"/>
          <w:w w:val="100"/>
          <w:position w:val="0"/>
          <w:shd w:val="clear" w:color="auto" w:fill="auto"/>
          <w:lang w:val="de-DE" w:eastAsia="de-DE" w:bidi="de-DE"/>
        </w:rPr>
        <w:t xml:space="preserve">Eustachius </w:t>
      </w:r>
      <w:r>
        <w:rPr>
          <w:rFonts w:ascii="Times New Roman" w:eastAsia="Times New Roman" w:hAnsi="Times New Roman" w:cs="Times New Roman"/>
          <w:color w:val="000000"/>
          <w:spacing w:val="0"/>
          <w:w w:val="100"/>
          <w:position w:val="0"/>
          <w:shd w:val="clear" w:color="auto" w:fill="auto"/>
          <w:lang w:val="en-US" w:eastAsia="en-US" w:bidi="en-US"/>
        </w:rPr>
        <w:t>dates from 1318, and possesses a lofty tower supported on four open arches. Within are monuments to the Glanville and Bourchier families, besides some good stained glass, one window being the work of William Morris. Kelly College, near the town, was founded by Admiral Benedictus Marwood Kelly, and opened in 1877 for the education of his descendants and the orphan sons of naval officers. Mines of copper, manganese, lead, silver and tin are in the neighbourhood, and the town possesses a considerable trade in cattle and com, and industries in brewing and iron-founding. The mining industry generally has declined, but there is a trade in arsenic, extracted from the copper ore.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early history of Tavistock </w:t>
      </w:r>
      <w:r>
        <w:rPr>
          <w:rFonts w:ascii="Times New Roman" w:eastAsia="Times New Roman" w:hAnsi="Times New Roman" w:cs="Times New Roman"/>
          <w:i/>
          <w:iCs/>
          <w:color w:val="000000"/>
          <w:spacing w:val="0"/>
          <w:w w:val="100"/>
          <w:position w:val="0"/>
          <w:shd w:val="clear" w:color="auto" w:fill="auto"/>
          <w:lang w:val="en-US" w:eastAsia="en-US" w:bidi="en-US"/>
        </w:rPr>
        <w:t>(Tavistoke)</w:t>
      </w:r>
      <w:r>
        <w:rPr>
          <w:rFonts w:ascii="Times New Roman" w:eastAsia="Times New Roman" w:hAnsi="Times New Roman" w:cs="Times New Roman"/>
          <w:color w:val="000000"/>
          <w:spacing w:val="0"/>
          <w:w w:val="100"/>
          <w:position w:val="0"/>
          <w:shd w:val="clear" w:color="auto" w:fill="auto"/>
          <w:lang w:val="en-US" w:eastAsia="en-US" w:bidi="en-US"/>
        </w:rPr>
        <w:t xml:space="preserve"> centres round the abbey of St Rumon. Both town and abbey were sacked by the Danes in 997, but were shortly afterwards rebuilt, and the latter at the time of the Conquest ranked as the wealthiest house in Devon, including the hundred and manor of Tavistock among its possessions. Tavistock was governed from before the Conquest by a portreeve, who in the 14th century was assisted by a select council of burgesses, styled in 1660 “ the Masters of the Toune and Parish of Tavistock.” It returned two members to parliament as a borough from 1295 until de</w:t>
        <w:softHyphen/>
        <w:t>prived of one member by the act of 1867, and finally disfranchised</w:t>
      </w:r>
    </w:p>
    <w:sectPr>
      <w:footnotePr>
        <w:pos w:val="pageBottom"/>
        <w:numFmt w:val="decimal"/>
        <w:numRestart w:val="continuous"/>
      </w:footnotePr>
      <w:pgSz w:w="12240" w:h="15840"/>
      <w:pgMar w:top="1187" w:left="1055" w:right="1078"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