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little by the egotism pardonable in a poet and the garrulity natural to a veteran, is in the main a pleasing and faithful picture of an aspiring youth, an active maturity, and a happy and honoured old age.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Taylor’s </w:t>
      </w:r>
      <w:r>
        <w:rPr>
          <w:rFonts w:ascii="Times New Roman" w:eastAsia="Times New Roman" w:hAnsi="Times New Roman" w:cs="Times New Roman"/>
          <w:i/>
          <w:iCs/>
          <w:color w:val="000000"/>
          <w:spacing w:val="0"/>
          <w:w w:val="100"/>
          <w:position w:val="0"/>
          <w:shd w:val="clear" w:color="auto" w:fill="auto"/>
          <w:lang w:val="en-US" w:eastAsia="en-US" w:bidi="en-US"/>
        </w:rPr>
        <w:t>Artevelde</w:t>
      </w:r>
      <w:r>
        <w:rPr>
          <w:rFonts w:ascii="Times New Roman" w:eastAsia="Times New Roman" w:hAnsi="Times New Roman" w:cs="Times New Roman"/>
          <w:color w:val="000000"/>
          <w:spacing w:val="0"/>
          <w:w w:val="100"/>
          <w:position w:val="0"/>
          <w:shd w:val="clear" w:color="auto" w:fill="auto"/>
          <w:lang w:val="en-US" w:eastAsia="en-US" w:bidi="en-US"/>
        </w:rPr>
        <w:t xml:space="preserve"> cannot fail to impress those who read it as the work of a poet of considerable distinction; but, perhaps for the very reason that he was so prominent as a state official, he has not been accepted by the world as more than a very accomplished man of letters. His lyrical work is in general laboriously artificial, but he produced two well-known songs— “ Quoth tongue of neither maid nor wife ” and “ If I had the wings of a dove.”</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Taylor’s </w:t>
      </w:r>
      <w:r>
        <w:rPr>
          <w:rFonts w:ascii="Times New Roman" w:eastAsia="Times New Roman" w:hAnsi="Times New Roman" w:cs="Times New Roman"/>
          <w:i/>
          <w:iCs/>
          <w:color w:val="000000"/>
          <w:spacing w:val="0"/>
          <w:w w:val="100"/>
          <w:position w:val="0"/>
          <w:shd w:val="clear" w:color="auto" w:fill="auto"/>
          <w:lang w:val="en-US" w:eastAsia="en-US" w:bidi="en-US"/>
        </w:rPr>
        <w:t>Autobiography</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1885) should be supplemented by his </w:t>
      </w:r>
      <w:r>
        <w:rPr>
          <w:rFonts w:ascii="Times New Roman" w:eastAsia="Times New Roman" w:hAnsi="Times New Roman" w:cs="Times New Roman"/>
          <w:i/>
          <w:iCs/>
          <w:color w:val="000000"/>
          <w:spacing w:val="0"/>
          <w:w w:val="100"/>
          <w:position w:val="0"/>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(1888), edited by Edward Dowden.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Works </w:t>
      </w:r>
      <w:r>
        <w:rPr>
          <w:rFonts w:ascii="Times New Roman" w:eastAsia="Times New Roman" w:hAnsi="Times New Roman" w:cs="Times New Roman"/>
          <w:color w:val="000000"/>
          <w:spacing w:val="0"/>
          <w:w w:val="100"/>
          <w:position w:val="0"/>
          <w:shd w:val="clear" w:color="auto" w:fill="auto"/>
          <w:lang w:val="en-US" w:eastAsia="en-US" w:bidi="en-US"/>
        </w:rPr>
        <w:t>were collected in five volumes in 1877-78.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ISAAC </w:t>
      </w:r>
      <w:r>
        <w:rPr>
          <w:rFonts w:ascii="Times New Roman" w:eastAsia="Times New Roman" w:hAnsi="Times New Roman" w:cs="Times New Roman"/>
          <w:color w:val="000000"/>
          <w:spacing w:val="0"/>
          <w:w w:val="100"/>
          <w:position w:val="0"/>
          <w:shd w:val="clear" w:color="auto" w:fill="auto"/>
          <w:lang w:val="en-US" w:eastAsia="en-US" w:bidi="en-US"/>
        </w:rPr>
        <w:t xml:space="preserve">(1787-1865), English author, son of Isaac Taylor (1759-1829), engraver and author, was born at Laven- ham, Suffolk, on the 17th of August 1787. He was trained by his father to be an engraver, but early adopted literature as a profession. From 1824, the year of his marriage, he lived a busy but uneventful life at Stanford Rivers, near Ongar, Essex, where he died on the 28th of June 1865. His attention was drawn to the study of the fathers of the church through reading the works of Sulpicius Severus, which he had picked up at a bookstall. He published a </w:t>
      </w:r>
      <w:r>
        <w:rPr>
          <w:rFonts w:ascii="Times New Roman" w:eastAsia="Times New Roman" w:hAnsi="Times New Roman" w:cs="Times New Roman"/>
          <w:i/>
          <w:iCs/>
          <w:color w:val="000000"/>
          <w:spacing w:val="0"/>
          <w:w w:val="100"/>
          <w:position w:val="0"/>
          <w:shd w:val="clear" w:color="auto" w:fill="auto"/>
          <w:lang w:val="en-US" w:eastAsia="en-US" w:bidi="en-US"/>
        </w:rPr>
        <w:t>History of the Transmission of Ancient Books to Modern Times</w:t>
      </w:r>
      <w:r>
        <w:rPr>
          <w:rFonts w:ascii="Times New Roman" w:eastAsia="Times New Roman" w:hAnsi="Times New Roman" w:cs="Times New Roman"/>
          <w:color w:val="000000"/>
          <w:spacing w:val="0"/>
          <w:w w:val="100"/>
          <w:position w:val="0"/>
          <w:shd w:val="clear" w:color="auto" w:fill="auto"/>
          <w:lang w:val="en-US" w:eastAsia="en-US" w:bidi="en-US"/>
        </w:rPr>
        <w:t xml:space="preserve"> (1827), a study in biblical criticism, and some other works, but he attracted little notice until, in 1829, he published anonymously a book bearing upon the religious and political problems of the day, entitled </w:t>
      </w:r>
      <w:r>
        <w:rPr>
          <w:rFonts w:ascii="Times New Roman" w:eastAsia="Times New Roman" w:hAnsi="Times New Roman" w:cs="Times New Roman"/>
          <w:i/>
          <w:iCs/>
          <w:color w:val="000000"/>
          <w:spacing w:val="0"/>
          <w:w w:val="100"/>
          <w:position w:val="0"/>
          <w:shd w:val="clear" w:color="auto" w:fill="auto"/>
          <w:lang w:val="en-US" w:eastAsia="en-US" w:bidi="en-US"/>
        </w:rPr>
        <w:t>The Natural History of Enthusiasm,</w:t>
      </w:r>
      <w:r>
        <w:rPr>
          <w:rFonts w:ascii="Times New Roman" w:eastAsia="Times New Roman" w:hAnsi="Times New Roman" w:cs="Times New Roman"/>
          <w:color w:val="000000"/>
          <w:spacing w:val="0"/>
          <w:w w:val="100"/>
          <w:position w:val="0"/>
          <w:shd w:val="clear" w:color="auto" w:fill="auto"/>
          <w:lang w:val="en-US" w:eastAsia="en-US" w:bidi="en-US"/>
        </w:rPr>
        <w:t xml:space="preserve"> which speedily ran through eight or nine editions. </w:t>
      </w:r>
      <w:r>
        <w:rPr>
          <w:rFonts w:ascii="Times New Roman" w:eastAsia="Times New Roman" w:hAnsi="Times New Roman" w:cs="Times New Roman"/>
          <w:i/>
          <w:iCs/>
          <w:color w:val="000000"/>
          <w:spacing w:val="0"/>
          <w:w w:val="100"/>
          <w:position w:val="0"/>
          <w:shd w:val="clear" w:color="auto" w:fill="auto"/>
          <w:lang w:val="en-US" w:eastAsia="en-US" w:bidi="en-US"/>
        </w:rPr>
        <w:t>Fanaticism</w:t>
      </w:r>
      <w:r>
        <w:rPr>
          <w:rFonts w:ascii="Times New Roman" w:eastAsia="Times New Roman" w:hAnsi="Times New Roman" w:cs="Times New Roman"/>
          <w:color w:val="000000"/>
          <w:spacing w:val="0"/>
          <w:w w:val="100"/>
          <w:position w:val="0"/>
          <w:shd w:val="clear" w:color="auto" w:fill="auto"/>
          <w:lang w:val="en-US" w:eastAsia="en-US" w:bidi="en-US"/>
        </w:rPr>
        <w:t xml:space="preserve"> (1833),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Spiritual Despotism </w:t>
      </w:r>
      <w:r>
        <w:rPr>
          <w:rFonts w:ascii="Times New Roman" w:eastAsia="Times New Roman" w:hAnsi="Times New Roman" w:cs="Times New Roman"/>
          <w:color w:val="000000"/>
          <w:spacing w:val="0"/>
          <w:w w:val="100"/>
          <w:position w:val="0"/>
          <w:shd w:val="clear" w:color="auto" w:fill="auto"/>
          <w:lang w:val="en-US" w:eastAsia="en-US" w:bidi="en-US"/>
        </w:rPr>
        <w:t xml:space="preserve">(1835), </w:t>
      </w:r>
      <w:r>
        <w:rPr>
          <w:rFonts w:ascii="Times New Roman" w:eastAsia="Times New Roman" w:hAnsi="Times New Roman" w:cs="Times New Roman"/>
          <w:i/>
          <w:iCs/>
          <w:color w:val="000000"/>
          <w:spacing w:val="0"/>
          <w:w w:val="100"/>
          <w:position w:val="0"/>
          <w:shd w:val="clear" w:color="auto" w:fill="auto"/>
          <w:lang w:val="en-US" w:eastAsia="en-US" w:bidi="en-US"/>
        </w:rPr>
        <w:t>Saturday Evening</w:t>
      </w:r>
      <w:r>
        <w:rPr>
          <w:rFonts w:ascii="Times New Roman" w:eastAsia="Times New Roman" w:hAnsi="Times New Roman" w:cs="Times New Roman"/>
          <w:color w:val="000000"/>
          <w:spacing w:val="0"/>
          <w:w w:val="100"/>
          <w:position w:val="0"/>
          <w:shd w:val="clear" w:color="auto" w:fill="auto"/>
          <w:lang w:val="en-US" w:eastAsia="en-US" w:bidi="en-US"/>
        </w:rPr>
        <w:t xml:space="preserve"> (1832), and </w:t>
      </w:r>
      <w:r>
        <w:rPr>
          <w:rFonts w:ascii="Times New Roman" w:eastAsia="Times New Roman" w:hAnsi="Times New Roman" w:cs="Times New Roman"/>
          <w:i/>
          <w:iCs/>
          <w:color w:val="000000"/>
          <w:spacing w:val="0"/>
          <w:w w:val="100"/>
          <w:position w:val="0"/>
          <w:shd w:val="clear" w:color="auto" w:fill="auto"/>
          <w:lang w:val="en-US" w:eastAsia="en-US" w:bidi="en-US"/>
        </w:rPr>
        <w:t>The Physical Theory of Another Life</w:t>
      </w:r>
      <w:r>
        <w:rPr>
          <w:rFonts w:ascii="Times New Roman" w:eastAsia="Times New Roman" w:hAnsi="Times New Roman" w:cs="Times New Roman"/>
          <w:color w:val="000000"/>
          <w:spacing w:val="0"/>
          <w:w w:val="100"/>
          <w:position w:val="0"/>
          <w:shd w:val="clear" w:color="auto" w:fill="auto"/>
          <w:lang w:val="en-US" w:eastAsia="en-US" w:bidi="en-US"/>
        </w:rPr>
        <w:t xml:space="preserve"> (1836), all commanded a large circulation. In his </w:t>
      </w:r>
      <w:r>
        <w:rPr>
          <w:rFonts w:ascii="Times New Roman" w:eastAsia="Times New Roman" w:hAnsi="Times New Roman" w:cs="Times New Roman"/>
          <w:i/>
          <w:iCs/>
          <w:color w:val="000000"/>
          <w:spacing w:val="0"/>
          <w:w w:val="100"/>
          <w:position w:val="0"/>
          <w:shd w:val="clear" w:color="auto" w:fill="auto"/>
          <w:lang w:val="en-US" w:eastAsia="en-US" w:bidi="en-US"/>
        </w:rPr>
        <w:t>Ancient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(1839-46), a series of dissertations in reply to the “ Tracts for the Times,” Taylor maintained that the Christian church of the 4th century should not be regarded as embodying the doctrine and practice of the apostles because it was then already corrupted by contact with pagan super</w:t>
        <w:softHyphen/>
        <w:t>stition. The book met with great opposition, but Taylor did not follow up the controversy.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other works may be mentioned biographies of Ignatius Loyola (1849) and John Wesley (1851); a volume entitled </w:t>
      </w:r>
      <w:r>
        <w:rPr>
          <w:rFonts w:ascii="Times New Roman" w:eastAsia="Times New Roman" w:hAnsi="Times New Roman" w:cs="Times New Roman"/>
          <w:i/>
          <w:iCs/>
          <w:color w:val="000000"/>
          <w:spacing w:val="0"/>
          <w:w w:val="100"/>
          <w:position w:val="0"/>
          <w:shd w:val="clear" w:color="auto" w:fill="auto"/>
          <w:lang w:val="en-US" w:eastAsia="en-US" w:bidi="en-US"/>
        </w:rPr>
        <w:t>The Restoration of Belief</w:t>
      </w:r>
      <w:r>
        <w:rPr>
          <w:rFonts w:ascii="Times New Roman" w:eastAsia="Times New Roman" w:hAnsi="Times New Roman" w:cs="Times New Roman"/>
          <w:color w:val="000000"/>
          <w:spacing w:val="0"/>
          <w:w w:val="100"/>
          <w:position w:val="0"/>
          <w:shd w:val="clear" w:color="auto" w:fill="auto"/>
          <w:lang w:val="en-US" w:eastAsia="en-US" w:bidi="en-US"/>
        </w:rPr>
        <w:t xml:space="preserve"> (1855); and a course of lectures on </w:t>
      </w:r>
      <w:r>
        <w:rPr>
          <w:rFonts w:ascii="Times New Roman" w:eastAsia="Times New Roman" w:hAnsi="Times New Roman" w:cs="Times New Roman"/>
          <w:i/>
          <w:iCs/>
          <w:color w:val="000000"/>
          <w:spacing w:val="0"/>
          <w:w w:val="100"/>
          <w:position w:val="0"/>
          <w:shd w:val="clear" w:color="auto" w:fill="auto"/>
          <w:lang w:val="en-US" w:eastAsia="en-US" w:bidi="en-US"/>
        </w:rPr>
        <w:t>The Spirit of Hebrew Poetry</w:t>
      </w:r>
      <w:r>
        <w:rPr>
          <w:rFonts w:ascii="Times New Roman" w:eastAsia="Times New Roman" w:hAnsi="Times New Roman" w:cs="Times New Roman"/>
          <w:color w:val="000000"/>
          <w:spacing w:val="0"/>
          <w:w w:val="100"/>
          <w:position w:val="0"/>
          <w:shd w:val="clear" w:color="auto" w:fill="auto"/>
          <w:lang w:val="en-US" w:eastAsia="en-US" w:bidi="en-US"/>
        </w:rPr>
        <w:t xml:space="preserve"> (1861).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ISAAC </w:t>
      </w:r>
      <w:r>
        <w:rPr>
          <w:rFonts w:ascii="Times New Roman" w:eastAsia="Times New Roman" w:hAnsi="Times New Roman" w:cs="Times New Roman"/>
          <w:color w:val="000000"/>
          <w:spacing w:val="0"/>
          <w:w w:val="100"/>
          <w:position w:val="0"/>
          <w:shd w:val="clear" w:color="auto" w:fill="auto"/>
          <w:lang w:val="en-US" w:eastAsia="en-US" w:bidi="en-US"/>
        </w:rPr>
        <w:t xml:space="preserve">(1829-1901), English philologist, eldest son of the preceding, was born at Stanford Rivers, 2nd May 1829. He was educated at Trinity College, Cambridge, and took the mathematical tripos in 1853. His interests, however, were linguistic rather than mathematical, and his earliest publication was a translation from the German of W. A. Becker’s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Charicles. </w:t>
      </w:r>
      <w:r>
        <w:rPr>
          <w:rFonts w:ascii="Times New Roman" w:eastAsia="Times New Roman" w:hAnsi="Times New Roman" w:cs="Times New Roman"/>
          <w:color w:val="000000"/>
          <w:spacing w:val="0"/>
          <w:w w:val="100"/>
          <w:position w:val="0"/>
          <w:shd w:val="clear" w:color="auto" w:fill="auto"/>
          <w:lang w:val="en-US" w:eastAsia="en-US" w:bidi="en-US"/>
        </w:rPr>
        <w:t xml:space="preserve">Though of Nonconformist stock, Isaac Taylor joined the Church of England, and in 1857 was ordained to a country curacy. In i860 he published </w:t>
      </w:r>
      <w:r>
        <w:rPr>
          <w:rFonts w:ascii="Times New Roman" w:eastAsia="Times New Roman" w:hAnsi="Times New Roman" w:cs="Times New Roman"/>
          <w:i/>
          <w:iCs/>
          <w:color w:val="000000"/>
          <w:spacing w:val="0"/>
          <w:w w:val="100"/>
          <w:position w:val="0"/>
          <w:shd w:val="clear" w:color="auto" w:fill="auto"/>
          <w:lang w:val="en-US" w:eastAsia="en-US" w:bidi="en-US"/>
        </w:rPr>
        <w:t>The Liturgy of the Dissenters,</w:t>
      </w:r>
      <w:r>
        <w:rPr>
          <w:rFonts w:ascii="Times New Roman" w:eastAsia="Times New Roman" w:hAnsi="Times New Roman" w:cs="Times New Roman"/>
          <w:color w:val="000000"/>
          <w:spacing w:val="0"/>
          <w:w w:val="100"/>
          <w:position w:val="0"/>
          <w:shd w:val="clear" w:color="auto" w:fill="auto"/>
          <w:lang w:val="en-US" w:eastAsia="en-US" w:bidi="en-US"/>
        </w:rPr>
        <w:t xml:space="preserve"> an appeal for the revision of the Book of Common Prayer “ on Protestant lines,” “ as expedient for the material interests of the Church, and as an act of plain justice to the Dissenters.” His studies in local etymology bore fruit in </w:t>
      </w:r>
      <w:r>
        <w:rPr>
          <w:rFonts w:ascii="Times New Roman" w:eastAsia="Times New Roman" w:hAnsi="Times New Roman" w:cs="Times New Roman"/>
          <w:i/>
          <w:iCs/>
          <w:color w:val="000000"/>
          <w:spacing w:val="0"/>
          <w:w w:val="100"/>
          <w:position w:val="0"/>
          <w:shd w:val="clear" w:color="auto" w:fill="auto"/>
          <w:lang w:val="en-US" w:eastAsia="en-US" w:bidi="en-US"/>
        </w:rPr>
        <w:t>Words and Places in Etymological Illustration of History, Ethnology and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(1864). Be</w:t>
        <w:softHyphen/>
        <w:t xml:space="preserve">tween 1865 and 1869, when he was in charge of a Bethnal Green parish, his philological studies were laid aside, and he published only </w:t>
      </w:r>
      <w:r>
        <w:rPr>
          <w:rFonts w:ascii="Times New Roman" w:eastAsia="Times New Roman" w:hAnsi="Times New Roman" w:cs="Times New Roman"/>
          <w:i/>
          <w:iCs/>
          <w:color w:val="000000"/>
          <w:spacing w:val="0"/>
          <w:w w:val="100"/>
          <w:position w:val="0"/>
          <w:shd w:val="clear" w:color="auto" w:fill="auto"/>
          <w:lang w:val="en-US" w:eastAsia="en-US" w:bidi="en-US"/>
        </w:rPr>
        <w:t>The Burden of the Poor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Family Pen,</w:t>
      </w:r>
      <w:r>
        <w:rPr>
          <w:rFonts w:ascii="Times New Roman" w:eastAsia="Times New Roman" w:hAnsi="Times New Roman" w:cs="Times New Roman"/>
          <w:color w:val="000000"/>
          <w:spacing w:val="0"/>
          <w:w w:val="100"/>
          <w:position w:val="0"/>
          <w:shd w:val="clear" w:color="auto" w:fill="auto"/>
          <w:lang w:val="en-US" w:eastAsia="en-US" w:bidi="en-US"/>
        </w:rPr>
        <w:t xml:space="preserve"> a record of the literary work of his own family, the Taylors of Ongar. In 1869 he became incumbent of a church at Twicken</w:t>
        <w:softHyphen/>
        <w:t xml:space="preserve">ham, and used his comparative leisure to produce his </w:t>
      </w:r>
      <w:r>
        <w:rPr>
          <w:rFonts w:ascii="Times New Roman" w:eastAsia="Times New Roman" w:hAnsi="Times New Roman" w:cs="Times New Roman"/>
          <w:i/>
          <w:iCs/>
          <w:color w:val="000000"/>
          <w:spacing w:val="0"/>
          <w:w w:val="100"/>
          <w:position w:val="0"/>
          <w:shd w:val="clear" w:color="auto" w:fill="auto"/>
          <w:lang w:val="en-US" w:eastAsia="en-US" w:bidi="en-US"/>
        </w:rPr>
        <w:t>Etruscan Researches</w:t>
      </w:r>
      <w:r>
        <w:rPr>
          <w:rFonts w:ascii="Times New Roman" w:eastAsia="Times New Roman" w:hAnsi="Times New Roman" w:cs="Times New Roman"/>
          <w:color w:val="000000"/>
          <w:spacing w:val="0"/>
          <w:w w:val="100"/>
          <w:position w:val="0"/>
          <w:shd w:val="clear" w:color="auto" w:fill="auto"/>
          <w:lang w:val="en-US" w:eastAsia="en-US" w:bidi="en-US"/>
        </w:rPr>
        <w:t xml:space="preserve"> (1874), in which he contended for the Ugrian origin of the Etruscan language. In 1875 he was presented to the rectory of Scttrington, Yorkshire, and began his systematic researches into the origin of the alphabet. His </w:t>
      </w:r>
      <w:r>
        <w:rPr>
          <w:rFonts w:ascii="Times New Roman" w:eastAsia="Times New Roman" w:hAnsi="Times New Roman" w:cs="Times New Roman"/>
          <w:i/>
          <w:iCs/>
          <w:color w:val="000000"/>
          <w:spacing w:val="0"/>
          <w:w w:val="100"/>
          <w:position w:val="0"/>
          <w:shd w:val="clear" w:color="auto" w:fill="auto"/>
          <w:lang w:val="en-US" w:eastAsia="en-US" w:bidi="en-US"/>
        </w:rPr>
        <w:t>Greeks and Goths; a Study on the Runes</w:t>
      </w:r>
      <w:r>
        <w:rPr>
          <w:rFonts w:ascii="Times New Roman" w:eastAsia="Times New Roman" w:hAnsi="Times New Roman" w:cs="Times New Roman"/>
          <w:color w:val="000000"/>
          <w:spacing w:val="0"/>
          <w:w w:val="100"/>
          <w:position w:val="0"/>
          <w:shd w:val="clear" w:color="auto" w:fill="auto"/>
          <w:lang w:val="en-US" w:eastAsia="en-US" w:bidi="en-US"/>
        </w:rPr>
        <w:t xml:space="preserve"> (1879), in which he suggested that the runes were of Greek origin, led to a good deal of controversy. His most important work is </w:t>
      </w:r>
      <w:r>
        <w:rPr>
          <w:rFonts w:ascii="Times New Roman" w:eastAsia="Times New Roman" w:hAnsi="Times New Roman" w:cs="Times New Roman"/>
          <w:i/>
          <w:iCs/>
          <w:color w:val="000000"/>
          <w:spacing w:val="0"/>
          <w:w w:val="100"/>
          <w:position w:val="0"/>
          <w:shd w:val="clear" w:color="auto" w:fill="auto"/>
          <w:lang w:val="en-US" w:eastAsia="en-US" w:bidi="en-US"/>
        </w:rPr>
        <w:t>The Alphabet, an Account of the Origin and Development of Letters</w:t>
      </w:r>
      <w:r>
        <w:rPr>
          <w:rFonts w:ascii="Times New Roman" w:eastAsia="Times New Roman" w:hAnsi="Times New Roman" w:cs="Times New Roman"/>
          <w:color w:val="000000"/>
          <w:spacing w:val="0"/>
          <w:w w:val="100"/>
          <w:position w:val="0"/>
          <w:shd w:val="clear" w:color="auto" w:fill="auto"/>
          <w:lang w:val="en-US" w:eastAsia="en-US" w:bidi="en-US"/>
        </w:rPr>
        <w:t xml:space="preserve"> (1883; new and revised </w:t>
      </w:r>
      <w:r>
        <w:rPr>
          <w:rFonts w:ascii="Times New Roman" w:eastAsia="Times New Roman" w:hAnsi="Times New Roman" w:cs="Times New Roman"/>
          <w:color w:val="000000"/>
          <w:spacing w:val="0"/>
          <w:w w:val="100"/>
          <w:position w:val="0"/>
          <w:shd w:val="clear" w:color="auto" w:fill="auto"/>
          <w:lang w:val="en-US" w:eastAsia="en-US" w:bidi="en-US"/>
        </w:rPr>
        <w:t xml:space="preserve">edition 1899). Taylor points out that alphabetical changes are the result of evolution taking place in accordance with fixed laws. “ Epigraphy and palaeography may claim, no less than philology or biology, to be ranked among the inductive sciences.” He was largely indebted to the Egyptian researches of Rougé, which it has since become necessary to rcconside in the light of discoveries in Crete. In 1885 Taylor became canon of York, and two years later dean. His paper on the </w:t>
      </w:r>
      <w:r>
        <w:rPr>
          <w:rFonts w:ascii="Times New Roman" w:eastAsia="Times New Roman" w:hAnsi="Times New Roman" w:cs="Times New Roman"/>
          <w:i/>
          <w:iCs/>
          <w:color w:val="000000"/>
          <w:spacing w:val="0"/>
          <w:w w:val="100"/>
          <w:position w:val="0"/>
          <w:shd w:val="clear" w:color="auto" w:fill="auto"/>
          <w:lang w:val="en-US" w:eastAsia="en-US" w:bidi="en-US"/>
        </w:rPr>
        <w:t>Origin of the Aryans,</w:t>
      </w:r>
      <w:r>
        <w:rPr>
          <w:rFonts w:ascii="Times New Roman" w:eastAsia="Times New Roman" w:hAnsi="Times New Roman" w:cs="Times New Roman"/>
          <w:color w:val="000000"/>
          <w:spacing w:val="0"/>
          <w:w w:val="100"/>
          <w:position w:val="0"/>
          <w:shd w:val="clear" w:color="auto" w:fill="auto"/>
          <w:lang w:val="en-US" w:eastAsia="en-US" w:bidi="en-US"/>
        </w:rPr>
        <w:t xml:space="preserve"> read at the British Association in 1887, was after</w:t>
        <w:softHyphen/>
        <w:t xml:space="preserve">wards expanded into a book. In the following winter he visited Egypt, and his letters from there, collected under the title </w:t>
      </w:r>
      <w:r>
        <w:rPr>
          <w:rFonts w:ascii="Times New Roman" w:eastAsia="Times New Roman" w:hAnsi="Times New Roman" w:cs="Times New Roman"/>
          <w:i/>
          <w:iCs/>
          <w:color w:val="000000"/>
          <w:spacing w:val="0"/>
          <w:w w:val="100"/>
          <w:position w:val="0"/>
          <w:shd w:val="clear" w:color="auto" w:fill="auto"/>
          <w:lang w:val="en-US" w:eastAsia="en-US" w:bidi="en-US"/>
        </w:rPr>
        <w:t>Leaves from an Egyptian Notebook,</w:t>
      </w:r>
      <w:r>
        <w:rPr>
          <w:rFonts w:ascii="Times New Roman" w:eastAsia="Times New Roman" w:hAnsi="Times New Roman" w:cs="Times New Roman"/>
          <w:color w:val="000000"/>
          <w:spacing w:val="0"/>
          <w:w w:val="100"/>
          <w:position w:val="0"/>
          <w:shd w:val="clear" w:color="auto" w:fill="auto"/>
          <w:lang w:val="en-US" w:eastAsia="en-US" w:bidi="en-US"/>
        </w:rPr>
        <w:t xml:space="preserve"> aroused considerable controversy from the extremely favourable view he took of the Mahommedan religion. For the last few years of his life Dean Taylor suffered from ill health, and was laid aside from active work for some time before his death in October 1901.</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JEREMY </w:t>
      </w:r>
      <w:r>
        <w:rPr>
          <w:rFonts w:ascii="Times New Roman" w:eastAsia="Times New Roman" w:hAnsi="Times New Roman" w:cs="Times New Roman"/>
          <w:color w:val="000000"/>
          <w:spacing w:val="0"/>
          <w:w w:val="100"/>
          <w:position w:val="0"/>
          <w:shd w:val="clear" w:color="auto" w:fill="auto"/>
          <w:lang w:val="en-US" w:eastAsia="en-US" w:bidi="en-US"/>
        </w:rPr>
        <w:t>(1613-1667), English divine and author, was baptized at Cambridge on the 15th of August 1613. His father, Nathaniel, though a barber, was a man of some educa</w:t>
        <w:softHyphen/>
        <w:t>tion, for Jeremy was “ solely grounded in grammar and mathe</w:t>
        <w:softHyphen/>
        <w:t>matics ” by him. The tradition that he was descended from Dr Rowland Taylor, Cranmer’s chaplain, who suffered martyr</w:t>
        <w:softHyphen/>
        <w:t xml:space="preserve">dom under Mary, is grounded on the untrustworthy evidence of a certain Lady Wray, said to have been a granddaughter of Jeremy Taylor. She supplied Bishop Heber in 1732 with other biographical data of doubtful authenticity. Jeremy Taylor was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pupil of Thomas Lovering, at the newly founded Perse grammar school. Lovering is first mentioned as master in 1619, so that Taylor probably spent seven years at the school before he was entered at Gon</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Caius </w:t>
      </w:r>
      <w:r>
        <w:rPr>
          <w:rFonts w:ascii="Times New Roman" w:eastAsia="Times New Roman" w:hAnsi="Times New Roman" w:cs="Times New Roman"/>
          <w:color w:val="000000"/>
          <w:spacing w:val="0"/>
          <w:w w:val="100"/>
          <w:position w:val="0"/>
          <w:shd w:val="clear" w:color="auto" w:fill="auto"/>
          <w:lang w:val="en-US" w:eastAsia="en-US" w:bidi="en-US"/>
        </w:rPr>
        <w:t>College as a sizar in 1626,@@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eighteen months after Milton had entered Christ’s, and while George Herbert was public orator and Edmund Waller and Thomas Fuller were undergraduates of the university. He was elected a Perse scholar in 1628, and fellow of his college in 1633, but the best evidence of his diligence as a student is the enormous learning of which he showed so easy a command in after years. In 1633, although still below the canonical age, he took holy orders, and, accepting the invitation of Thomas Risden, a former fellow-student, to supply his place for a short time as lecturer in St Paul’s, he at once attracted attention by his eloquence and by his handsome face. Archbishop Laud sent for Taylor to preach before him at Lambeth, and took the young man under his special protection. Taylor did not vacate his fellowship at Cambridge before 1636, but he spent, appa</w:t>
        <w:softHyphen/>
        <w:t>rently, much of his time in London, for Laud desired that his “ mighty parts should be afforded better opportunities of study and improvement than a course of constant preaching would allow of.” In November 1635 he had been nominated by Laud to a fellowship at All Souls, Oxford, where, says Wood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Athen. </w:t>
      </w:r>
      <w:r>
        <w:rPr>
          <w:rFonts w:ascii="Times New Roman" w:eastAsia="Times New Roman" w:hAnsi="Times New Roman" w:cs="Times New Roman"/>
          <w:i/>
          <w:iCs/>
          <w:color w:val="000000"/>
          <w:spacing w:val="0"/>
          <w:w w:val="100"/>
          <w:position w:val="0"/>
          <w:shd w:val="clear" w:color="auto" w:fill="auto"/>
          <w:lang w:val="en-US" w:eastAsia="en-US" w:bidi="en-US"/>
        </w:rPr>
        <w:t>Oxon.,</w:t>
      </w:r>
      <w:r>
        <w:rPr>
          <w:rFonts w:ascii="Times New Roman" w:eastAsia="Times New Roman" w:hAnsi="Times New Roman" w:cs="Times New Roman"/>
          <w:color w:val="000000"/>
          <w:spacing w:val="0"/>
          <w:w w:val="100"/>
          <w:position w:val="0"/>
          <w:shd w:val="clear" w:color="auto" w:fill="auto"/>
          <w:lang w:val="en-US" w:eastAsia="en-US" w:bidi="en-US"/>
        </w:rPr>
        <w:t xml:space="preserve"> Ed. Bliss, iii. 781), love and admiration still waited on him. He seems, however, to have spent little time there. He became chaplain to his patron the archbishop, and chaplain in ordinary to Charles I. At Oxford William Chilling</w:t>
        <w:softHyphen/>
        <w:t xml:space="preserve">worth was then busy with his great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Religion of </w:t>
      </w:r>
      <w:r>
        <w:rPr>
          <w:rFonts w:ascii="Times New Roman" w:eastAsia="Times New Roman" w:hAnsi="Times New Roman" w:cs="Times New Roman"/>
          <w:i/>
          <w:iCs/>
          <w:color w:val="000000"/>
          <w:spacing w:val="0"/>
          <w:w w:val="100"/>
          <w:position w:val="0"/>
          <w:shd w:val="clear" w:color="auto" w:fill="auto"/>
          <w:lang w:val="fr-FR" w:eastAsia="fr-FR" w:bidi="fr-FR"/>
        </w:rPr>
        <w:t>Pro</w:t>
        <w:softHyphen/>
        <w:t>testants,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possible that by intercourse with him Taylor’s mind may have been turned towards the liberal movement of his age. After two years in Oxford, he was presented, in March 1638, by Juxon, bishop of London, to the rectory of Uppingham, in Rutlandshire. In the next year he married Phoebe Langs- dale, by whom he had six children, the eldest of whom died at Uppingham in 1642. In the autumn of the same year he was appointed to preach in St Mary’s on the anniversary of the Gunpowder Plot, and apparently used the occasion to clear himself of a suspicion, which, however, haunted him through life, of a secret leaning to the Romish communion. This suspicion seems to have arisen chiefly from his intimacy with Christopher Davenport, better known as Francis a Sancta Clara, a learned Franciscan friar who became chaplain to Queen</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obviously erroneous entry in the Admission Book states that he had been at school under Mr. Lovering for ten years, and was in his fifteenth year.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Admissions to Gonvüle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Caius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College </w:t>
      </w:r>
      <w:r>
        <w:rPr>
          <w:rFonts w:ascii="Times New Roman" w:eastAsia="Times New Roman" w:hAnsi="Times New Roman" w:cs="Times New Roman"/>
          <w:color w:val="000000"/>
          <w:spacing w:val="0"/>
          <w:w w:val="100"/>
          <w:position w:val="0"/>
          <w:shd w:val="clear" w:color="auto" w:fill="auto"/>
          <w:lang w:val="en-US" w:eastAsia="en-US" w:bidi="en-US"/>
        </w:rPr>
        <w:t>(ed. J. Venn, 1887).</w:t>
      </w:r>
    </w:p>
    <w:sectPr>
      <w:footnotePr>
        <w:pos w:val="pageBottom"/>
        <w:numFmt w:val="decimal"/>
        <w:numRestart w:val="continuous"/>
      </w:footnotePr>
      <w:pgSz w:w="12240" w:h="15840"/>
      <w:pgMar w:top="1238" w:left="1032" w:right="1101"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