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TAYLOR, JOSEPH </w:t>
      </w:r>
      <w:r>
        <w:rPr>
          <w:rFonts w:ascii="Times New Roman" w:eastAsia="Times New Roman" w:hAnsi="Times New Roman" w:cs="Times New Roman"/>
          <w:color w:val="000000"/>
          <w:spacing w:val="0"/>
          <w:w w:val="100"/>
          <w:position w:val="0"/>
          <w:shd w:val="clear" w:color="auto" w:fill="auto"/>
          <w:lang w:val="de-DE" w:eastAsia="de-DE" w:bidi="de-DE"/>
        </w:rPr>
        <w:t xml:space="preserve">(c. 1586-c. </w:t>
      </w:r>
      <w:r>
        <w:rPr>
          <w:rFonts w:ascii="Times New Roman" w:eastAsia="Times New Roman" w:hAnsi="Times New Roman" w:cs="Times New Roman"/>
          <w:color w:val="000000"/>
          <w:spacing w:val="0"/>
          <w:w w:val="100"/>
          <w:position w:val="0"/>
          <w:shd w:val="clear" w:color="auto" w:fill="auto"/>
          <w:lang w:val="en-US" w:eastAsia="en-US" w:bidi="en-US"/>
        </w:rPr>
        <w:t>1653), English actor, is men</w:t>
        <w:softHyphen/>
        <w:t xml:space="preserve">tioned in the folio Shakespeare of 1623 as one of the twenty-six who took principal parts in all of these plays. There is a legend that he was trained by Shakespeare to play Hamlet, and that he succeeded Burbage in this and other parts. Certain it is that in many of Beaumont and Fletcher’s plays he had a leading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and he is one of the ten actors who signed the dedication of the first folio of these dramatists (1647).</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TAYLOR, MICHAEL ANGELO </w:t>
      </w:r>
      <w:r>
        <w:rPr>
          <w:rFonts w:ascii="Times New Roman" w:eastAsia="Times New Roman" w:hAnsi="Times New Roman" w:cs="Times New Roman"/>
          <w:color w:val="000000"/>
          <w:spacing w:val="0"/>
          <w:w w:val="100"/>
          <w:position w:val="0"/>
          <w:shd w:val="clear" w:color="auto" w:fill="auto"/>
          <w:lang w:val="en-US" w:eastAsia="en-US" w:bidi="en-US"/>
        </w:rPr>
        <w:t>(1757-1834), English politi</w:t>
        <w:softHyphen/>
        <w:t>cian, was a son of Sir Robert Taylor (1714-1788), the architect, and was educated at Corpus Christi College, Oxford, becoming a barrister at Lincoln’s Inn in 1774. He entered the House of Commons as member for Poole in 1784, and, with the excep</w:t>
        <w:softHyphen/>
        <w:t>tion of the short period from 1802 to 1806, remained a member of parliament until 1834, although not as the representative of the same constituency. In parliament Taylor showed himself anxious to curtail the delays in the Court of Chancery, and to improve the lighting and paving of the London streets; and he was largely instrumental in bringing about the abolition of the pillory. At first a supporter of the younger Pitt, he soon veered round to the side of Fox and the Whigs, favoured parlia</w:t>
        <w:softHyphen/>
        <w:t>mentary reform, and was a personal friend of the regent, after</w:t>
        <w:softHyphen/>
        <w:t xml:space="preserve">wards </w:t>
      </w:r>
      <w:r>
        <w:rPr>
          <w:rFonts w:ascii="Times New Roman" w:eastAsia="Times New Roman" w:hAnsi="Times New Roman" w:cs="Times New Roman"/>
          <w:color w:val="000000"/>
          <w:spacing w:val="0"/>
          <w:w w:val="100"/>
          <w:position w:val="0"/>
          <w:shd w:val="clear" w:color="auto" w:fill="auto"/>
          <w:lang w:val="de-DE" w:eastAsia="de-DE" w:bidi="de-DE"/>
        </w:rPr>
        <w:t xml:space="preserve">George </w:t>
      </w:r>
      <w:r>
        <w:rPr>
          <w:rFonts w:ascii="Times New Roman" w:eastAsia="Times New Roman" w:hAnsi="Times New Roman" w:cs="Times New Roman"/>
          <w:color w:val="000000"/>
          <w:spacing w:val="0"/>
          <w:w w:val="100"/>
          <w:position w:val="0"/>
          <w:shd w:val="clear" w:color="auto" w:fill="auto"/>
          <w:lang w:val="en-US" w:eastAsia="en-US" w:bidi="en-US"/>
        </w:rPr>
        <w:t>IV. He was on the committee which managed the impeachment of Warren Hastings; was made a privy councillor in 1831; and died in London on the 16th of July 1834. Taylor is chiefly known in connexion with the Metro</w:t>
        <w:softHyphen/>
        <w:t>politan Paving Act of 1817, which is still referred to as “ Michael Angelo Taylor’s Act.” Often called “ Chicken Taylor ” because of his reference to himself as a “ mere chicken in the law,” he is described by Sir Spencer Walpole as “ a pompous harrister, with a little body and a loud voice.” Taylor’s father, Sir Robert, was the founder of the Taylorian Institution at Oxford.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TAYLOR, NATHANIEL WILLIAM </w:t>
      </w:r>
      <w:r>
        <w:rPr>
          <w:rFonts w:ascii="Times New Roman" w:eastAsia="Times New Roman" w:hAnsi="Times New Roman" w:cs="Times New Roman"/>
          <w:color w:val="000000"/>
          <w:spacing w:val="0"/>
          <w:w w:val="100"/>
          <w:position w:val="0"/>
          <w:shd w:val="clear" w:color="auto" w:fill="auto"/>
          <w:lang w:val="en-US" w:eastAsia="en-US" w:bidi="en-US"/>
        </w:rPr>
        <w:t>(1786-1858), American Congregational theologian, was bom in New Milford, Con</w:t>
        <w:softHyphen/>
        <w:t>necticut, on the 23rd of June 1786, grandson of Nathaniel Taylor (1722-1800), pastor at New Milford. He graduated at Yale College in 1807, studied theology under Timothy Dwight, and in 1812 became pastor of the First Church of New Haven. From 1822 until his death in New Haven on the 10th of March 1858 he was Dwight professor of didactic theology at Yale. He was the last notable representative of the New England School, in which his predecessors were the younger Edwards, John Smalley (1734-1820) and Nathaniel Emmons. In the Yale Divinity School his influence was powerful, and in 1833 one of his foremost opponents, Bennet Tyler (1783-1858), founded in East Windsor a Theological Institute to offset Taylor's teaching at Yale.</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Taylorism, sometimes called the “ New Haven ” theology, was an attempt to defend Calvinism from Arminian attacks, and the defence itself was accused of Arminianism and Pelagianism by A. A. Hodge of Princeton and Leonard Woods of Andover. Taylor’s theology was distinctively infra-lapsarian ; it disagreed with Samuel Hopkins and Emmons in rejecting the theory of “ divine efficiency ” and in arguing that man can choose the right “ even if he won’t ” —distinguishing like Edwards between natural ability and moral inability; it distinguished sensibility or susceptibility as something different from will or understanding, without moral qualities, to which the appeal for right choice may be made; and it made self- love (a term borrowed from Dugald Stewart, connoting the innocent love of happiness and distinct from selfishness) the particular feeling appealed to by the influences of the law and gospel.</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wrote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Practical Sermons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(1858; edited by Noah Porter);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Lectures on the Moral Government of God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vols., 1859),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Essays and Lectures upon Select Topics in Revealed Theology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(1859), all published posthumously.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TAYLOR, PHILIP MEADOWS </w:t>
      </w:r>
      <w:r>
        <w:rPr>
          <w:rFonts w:ascii="Times New Roman" w:eastAsia="Times New Roman" w:hAnsi="Times New Roman" w:cs="Times New Roman"/>
          <w:color w:val="000000"/>
          <w:spacing w:val="0"/>
          <w:w w:val="100"/>
          <w:position w:val="0"/>
          <w:shd w:val="clear" w:color="auto" w:fill="auto"/>
          <w:lang w:val="en-US" w:eastAsia="en-US" w:bidi="en-US"/>
        </w:rPr>
        <w:t xml:space="preserve">(1808-1876), Anglo-Indian administrator and novelist, was born at Liverpool on the 25th of September 1808. At the age of fifteen he was sent out to India to become a clerk to a Bombay merchant. On his arrival the house was in financial difficulties, and he was glad to accept in 1824 a commission in the service of his highness the nizam, to which service he remained devotedly attached throughout his long career. He was speedily transferred from military duty to a civil appointment, and in this capacity he acquired a knowledge of the languages and the people of Southern India </w:t>
      </w:r>
      <w:r>
        <w:rPr>
          <w:rFonts w:ascii="Times New Roman" w:eastAsia="Times New Roman" w:hAnsi="Times New Roman" w:cs="Times New Roman"/>
          <w:color w:val="000000"/>
          <w:spacing w:val="0"/>
          <w:w w:val="100"/>
          <w:position w:val="0"/>
          <w:shd w:val="clear" w:color="auto" w:fill="auto"/>
          <w:lang w:val="en-US" w:eastAsia="en-US" w:bidi="en-US"/>
        </w:rPr>
        <w:t xml:space="preserve">which has seldom been equalled. He studied the laws, the geology, the antiquities of the country; he was alternately judge, engineer, artist and man of letters, for on his return to England in 1840 on furlough he published the first of his Indian novels, </w:t>
      </w:r>
      <w:r>
        <w:rPr>
          <w:rFonts w:ascii="Times New Roman" w:eastAsia="Times New Roman" w:hAnsi="Times New Roman" w:cs="Times New Roman"/>
          <w:i/>
          <w:iCs/>
          <w:color w:val="000000"/>
          <w:spacing w:val="0"/>
          <w:w w:val="100"/>
          <w:position w:val="0"/>
          <w:shd w:val="clear" w:color="auto" w:fill="auto"/>
          <w:lang w:val="en-US" w:eastAsia="en-US" w:bidi="en-US"/>
        </w:rPr>
        <w:t>Confesssions of a Thug,</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reproduced, with singular vivacity and truth, the scenes which he had heard described by the chief actors in them. This book was followed by a scries of tales, </w:t>
      </w:r>
      <w:r>
        <w:rPr>
          <w:rFonts w:ascii="Times New Roman" w:eastAsia="Times New Roman" w:hAnsi="Times New Roman" w:cs="Times New Roman"/>
          <w:i/>
          <w:iCs/>
          <w:color w:val="000000"/>
          <w:spacing w:val="0"/>
          <w:w w:val="100"/>
          <w:position w:val="0"/>
          <w:shd w:val="clear" w:color="auto" w:fill="auto"/>
          <w:lang w:val="en-US" w:eastAsia="en-US" w:bidi="en-US"/>
        </w:rPr>
        <w:t>Tippoo Sullaun</w:t>
      </w:r>
      <w:r>
        <w:rPr>
          <w:rFonts w:ascii="Times New Roman" w:eastAsia="Times New Roman" w:hAnsi="Times New Roman" w:cs="Times New Roman"/>
          <w:color w:val="000000"/>
          <w:spacing w:val="0"/>
          <w:w w:val="100"/>
          <w:position w:val="0"/>
          <w:shd w:val="clear" w:color="auto" w:fill="auto"/>
          <w:lang w:val="en-US" w:eastAsia="en-US" w:bidi="en-US"/>
        </w:rPr>
        <w:t xml:space="preserve"> (1840), </w:t>
      </w:r>
      <w:r>
        <w:rPr>
          <w:rFonts w:ascii="Times New Roman" w:eastAsia="Times New Roman" w:hAnsi="Times New Roman" w:cs="Times New Roman"/>
          <w:i/>
          <w:iCs/>
          <w:color w:val="000000"/>
          <w:spacing w:val="0"/>
          <w:w w:val="100"/>
          <w:position w:val="0"/>
          <w:shd w:val="clear" w:color="auto" w:fill="auto"/>
          <w:lang w:val="en-US" w:eastAsia="en-US" w:bidi="en-US"/>
        </w:rPr>
        <w:t>Tara</w:t>
      </w:r>
      <w:r>
        <w:rPr>
          <w:rFonts w:ascii="Times New Roman" w:eastAsia="Times New Roman" w:hAnsi="Times New Roman" w:cs="Times New Roman"/>
          <w:color w:val="000000"/>
          <w:spacing w:val="0"/>
          <w:w w:val="100"/>
          <w:position w:val="0"/>
          <w:shd w:val="clear" w:color="auto" w:fill="auto"/>
          <w:lang w:val="en-US" w:eastAsia="en-US" w:bidi="en-US"/>
        </w:rPr>
        <w:t xml:space="preserve"> (1863), </w:t>
      </w:r>
      <w:r>
        <w:rPr>
          <w:rFonts w:ascii="Times New Roman" w:eastAsia="Times New Roman" w:hAnsi="Times New Roman" w:cs="Times New Roman"/>
          <w:i/>
          <w:iCs/>
          <w:color w:val="000000"/>
          <w:spacing w:val="0"/>
          <w:w w:val="100"/>
          <w:position w:val="0"/>
          <w:shd w:val="clear" w:color="auto" w:fill="auto"/>
          <w:lang w:val="en-US" w:eastAsia="en-US" w:bidi="en-US"/>
        </w:rPr>
        <w:t>Ralph Darnell</w:t>
      </w:r>
      <w:r>
        <w:rPr>
          <w:rFonts w:ascii="Times New Roman" w:eastAsia="Times New Roman" w:hAnsi="Times New Roman" w:cs="Times New Roman"/>
          <w:color w:val="000000"/>
          <w:spacing w:val="0"/>
          <w:w w:val="100"/>
          <w:position w:val="0"/>
          <w:shd w:val="clear" w:color="auto" w:fill="auto"/>
          <w:lang w:val="en-US" w:eastAsia="en-US" w:bidi="en-US"/>
        </w:rPr>
        <w:t xml:space="preserve"> (1865), </w:t>
      </w:r>
      <w:r>
        <w:rPr>
          <w:rFonts w:ascii="Times New Roman" w:eastAsia="Times New Roman" w:hAnsi="Times New Roman" w:cs="Times New Roman"/>
          <w:i/>
          <w:iCs/>
          <w:color w:val="000000"/>
          <w:spacing w:val="0"/>
          <w:w w:val="100"/>
          <w:position w:val="0"/>
          <w:shd w:val="clear" w:color="auto" w:fill="auto"/>
          <w:lang w:val="en-US" w:eastAsia="en-US" w:bidi="en-US"/>
        </w:rPr>
        <w:t>Seela</w:t>
      </w:r>
      <w:r>
        <w:rPr>
          <w:rFonts w:ascii="Times New Roman" w:eastAsia="Times New Roman" w:hAnsi="Times New Roman" w:cs="Times New Roman"/>
          <w:color w:val="000000"/>
          <w:spacing w:val="0"/>
          <w:w w:val="100"/>
          <w:position w:val="0"/>
          <w:shd w:val="clear" w:color="auto" w:fill="auto"/>
          <w:lang w:val="en-US" w:eastAsia="en-US" w:bidi="en-US"/>
        </w:rPr>
        <w:t xml:space="preserve"> (1872), and </w:t>
      </w:r>
      <w:r>
        <w:rPr>
          <w:rFonts w:ascii="Times New Roman" w:eastAsia="Times New Roman" w:hAnsi="Times New Roman" w:cs="Times New Roman"/>
          <w:i/>
          <w:iCs/>
          <w:color w:val="000000"/>
          <w:spacing w:val="0"/>
          <w:w w:val="100"/>
          <w:position w:val="0"/>
          <w:shd w:val="clear" w:color="auto" w:fill="auto"/>
          <w:lang w:val="en-US" w:eastAsia="en-US" w:bidi="en-US"/>
        </w:rPr>
        <w:t>A Noble Queen</w:t>
      </w:r>
      <w:r>
        <w:rPr>
          <w:rFonts w:ascii="Times New Roman" w:eastAsia="Times New Roman" w:hAnsi="Times New Roman" w:cs="Times New Roman"/>
          <w:color w:val="000000"/>
          <w:spacing w:val="0"/>
          <w:w w:val="100"/>
          <w:position w:val="0"/>
          <w:shd w:val="clear" w:color="auto" w:fill="auto"/>
          <w:lang w:val="en-US" w:eastAsia="en-US" w:bidi="en-US"/>
        </w:rPr>
        <w:t xml:space="preserve"> (1878), all illustrating periods of Indian history and society, and giving a prominent place to the native character, for which and the native institutions and traditions he had a great regard and respect. Returning to India he acted from 1840 to 1853 as correspondent for </w:t>
      </w:r>
      <w:r>
        <w:rPr>
          <w:rFonts w:ascii="Times New Roman" w:eastAsia="Times New Roman" w:hAnsi="Times New Roman" w:cs="Times New Roman"/>
          <w:i/>
          <w:iCs/>
          <w:color w:val="000000"/>
          <w:spacing w:val="0"/>
          <w:w w:val="100"/>
          <w:position w:val="0"/>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He also wrote a </w:t>
      </w:r>
      <w:r>
        <w:rPr>
          <w:rFonts w:ascii="Times New Roman" w:eastAsia="Times New Roman" w:hAnsi="Times New Roman" w:cs="Times New Roman"/>
          <w:i/>
          <w:iCs/>
          <w:color w:val="000000"/>
          <w:spacing w:val="0"/>
          <w:w w:val="100"/>
          <w:position w:val="0"/>
          <w:shd w:val="clear" w:color="auto" w:fill="auto"/>
          <w:lang w:val="en-US" w:eastAsia="en-US" w:bidi="en-US"/>
        </w:rPr>
        <w:t>Student’s Manual of the History of India</w:t>
      </w:r>
      <w:r>
        <w:rPr>
          <w:rFonts w:ascii="Times New Roman" w:eastAsia="Times New Roman" w:hAnsi="Times New Roman" w:cs="Times New Roman"/>
          <w:color w:val="000000"/>
          <w:spacing w:val="0"/>
          <w:w w:val="100"/>
          <w:position w:val="0"/>
          <w:shd w:val="clear" w:color="auto" w:fill="auto"/>
          <w:lang w:val="en-US" w:eastAsia="en-US" w:bidi="en-US"/>
        </w:rPr>
        <w:t xml:space="preserve"> (1870). About 1850, Meadows Taylor was appointed by the nizam’s government to administer, during a long minority, the principality of the young raja of Shorapore. He succeeded without any European assistance in raising this small territory to a high degree of prosperity, and such was his influence with the natives that on the occur</w:t>
        <w:softHyphen/>
        <w:t>rence of the mutiny in Bengal he held his ground without military support. Colonel Taylor, whose merits were now recognized and acknowledged by the British government of India—although he had never been in the service of the Com</w:t>
        <w:softHyphen/>
        <w:t>pany—was subsequently appointed to the deputy commissioner</w:t>
        <w:softHyphen/>
        <w:t>ship of the Western ceded districts, where he succeeded in establishing a new assessment of revenues at once more equitable to the cultivators and more productive to the government. By indefatigable perseverance he had raised himself from the con</w:t>
        <w:softHyphen/>
        <w:t>dition of a half-educated lad, without patronage, and without even the support of the Company, to the successful government of some of the most important provinces of India, 36,000 square miles in extent and with a population of more than five millions. On his retirement from service in 1860 he was made a C.S.I. and given a pension. Taylor died at Mentone on the 13th of May 1876.</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Meadows Taylor’s </w:t>
      </w:r>
      <w:r>
        <w:rPr>
          <w:rFonts w:ascii="Times New Roman" w:eastAsia="Times New Roman" w:hAnsi="Times New Roman" w:cs="Times New Roman"/>
          <w:i/>
          <w:iCs/>
          <w:color w:val="000000"/>
          <w:spacing w:val="0"/>
          <w:w w:val="100"/>
          <w:position w:val="0"/>
          <w:shd w:val="clear" w:color="auto" w:fill="auto"/>
          <w:lang w:val="en-US" w:eastAsia="en-US" w:bidi="en-US"/>
        </w:rPr>
        <w:t>The Story of My Life</w:t>
      </w:r>
      <w:r>
        <w:rPr>
          <w:rFonts w:ascii="Times New Roman" w:eastAsia="Times New Roman" w:hAnsi="Times New Roman" w:cs="Times New Roman"/>
          <w:color w:val="000000"/>
          <w:spacing w:val="0"/>
          <w:w w:val="100"/>
          <w:position w:val="0"/>
          <w:shd w:val="clear" w:color="auto" w:fill="auto"/>
          <w:lang w:val="en-US" w:eastAsia="en-US" w:bidi="en-US"/>
        </w:rPr>
        <w:t xml:space="preserve"> (1877).</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TAYLOR, ROWLAND </w:t>
      </w:r>
      <w:r>
        <w:rPr>
          <w:rFonts w:ascii="Times New Roman" w:eastAsia="Times New Roman" w:hAnsi="Times New Roman" w:cs="Times New Roman"/>
          <w:color w:val="000000"/>
          <w:spacing w:val="0"/>
          <w:w w:val="100"/>
          <w:position w:val="0"/>
          <w:shd w:val="clear" w:color="auto" w:fill="auto"/>
          <w:lang w:val="en-US" w:eastAsia="en-US" w:bidi="en-US"/>
        </w:rPr>
        <w:t>(d. 1555), English Protestant martyr, was born at Rothbury, Northumberland; he took minor orders at Norwich in 1528 and graduated LL.B, at Cambridge in 1530 and LL.D. in 1534. Adopting reformed views he was made chaplain by Cranmer in 1540 and presented to the living of Hadleigh, Suffolk, in 1544. In Whitsun week, 1547, he preached a “ notable sermon ” at St Paul’s Cross, and was given the third stall in Rochester cathedral. In 1549 he was placed on a com</w:t>
        <w:softHyphen/>
        <w:t>mission to examine Anabaptists, and in 1551 he was appointed chancellor to Bishop Ridley, select preacher at Canterbury, and a commissioner for the reform of the canon law; in 1552 Coverdale made him archdeacon of Exeter. Apparently he advocated the cause of Lady Jane Grey, for on the 25th of July 1553, only six days after Mary’s proclamation as queen, he was committed to the custody of the sheriff of Essex. He was released not long afterwards, and with the support of his parishioners offered strenuous resistance to the restoration of the Mass. He was consequently imprisoned in the King’s Bench prison on the 26th of March 1554. The sturdy pro- testantism of Taylor and his flock, who seem to have caused various commotions, marked him out for the special enmity of Mary’s government; and he was one of the first to suffer when in January 1555 parliament had once more given the clerical courts liberty of jurisdiction. He was sentenced on the 22nd, excommunicated on the 29th, degraded by Bonner on the 4th of February, and burnt on the 9th at Aldham Common near Hadleigh. His blameless character had made a great impression on his age, and he was commemorated in many popular ballads. He was regarded as the ideal of a Protestant parish priest; he was married and had nine children. The alleged descent of Jeremy Taylor from him has not been proved.</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Thomas Quinton Stow’s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Memoirs of Rowland Taylor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(1833)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Dict. of Nat. Biogr.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lv. 463-4, and authorities there cited.</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 F. P.)</w:t>
      </w:r>
    </w:p>
    <w:sectPr>
      <w:footnotePr>
        <w:pos w:val="pageBottom"/>
        <w:numFmt w:val="decimal"/>
        <w:numRestart w:val="continuous"/>
      </w:footnotePr>
      <w:pgSz w:w="12240" w:h="15840"/>
      <w:pgMar w:top="1126" w:left="1077" w:right="1065" w:bottom="8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