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(1804-1885) by his morganatic marriage with Claudine, countess Rhédey, ennobled as countess of Hohenstein; in 1871 Prince Francis, the eldest son of Duke Alexander, was created duke of Teck. His eldest son Adolphus (b. 1868) was in 1910 the holder of the title.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TECUCI </w:t>
      </w:r>
      <w:r>
        <w:rPr>
          <w:rFonts w:ascii="Times New Roman" w:eastAsia="Times New Roman" w:hAnsi="Times New Roman" w:cs="Times New Roman"/>
          <w:i/>
          <w:iCs/>
          <w:color w:val="000000"/>
          <w:spacing w:val="0"/>
          <w:w w:val="100"/>
          <w:position w:val="0"/>
          <w:shd w:val="clear" w:color="auto" w:fill="auto"/>
          <w:lang w:val="en-US" w:eastAsia="en-US" w:bidi="en-US"/>
        </w:rPr>
        <w:t>(Tecuciu),</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Tecuci department of Rumania, picturesquely situated among wooded hills, on the right bank of the river Bêrlad, and at the junction of railways from Bacau, Bêrlad and Galatz. Pop. (1900) 13,401. Tecuci has a large transit trade in grain, timber, cattle and horses, on their way from northern and eastern Moldavia to the Danubian ports. The neighbourhood of Tecuci was the scene of a fierce battle in 1476 between Stephen the Great and the Turks.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TECUMSEH,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Tecumthe,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Tecumtha@@</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lang w:val="en-US" w:eastAsia="en-US" w:bidi="en-US"/>
        </w:rPr>
        <w:t xml:space="preserve"> 1768-1813), American Shawnee chief, was probably born in the old Shawnee village of Piqua, near the site of Springfield, Ohio, between 1768 and 1780. While still a youth he took part in attacks on settlers passing down the Ohio and in widely extended hunting expeditions or predatory forays to the west and south; and he served in the Indian wars preceding the Treaty of Green</w:t>
        <w:softHyphen/>
        <w:t>ville in 1795. About 1800 his eloquence and his self-control made him a leader in conferences between the Indians and whites. After r805 the Indians of the North-West became aroused by a series of treaties calling for new cessions of their territory and by the prospect of war between Great Britain and the United States. This presented to Tecumseh and to his brother Tenskwatawa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Open Door), popularly called “ the Prophet,” the opportunity to put into operation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scheme which followed the ambitious dream of Pontiac. With some scattered Shawnee clans as a nucleus, the brothers proceeded to organize, first near Greenville, Ohio, and later on the White and Tippecanoe rivers in Indiana, “ the Prophet’s town,” which was based on a sort of communism and was apparently devoted to peace, industry and sobriety, but their actual plan was to combine all of the Indians from Canada to Florida in a great democratic confederacy to resist the encroachment of the whites. Tribal organizations were to be disregarded, but all warriors were to be represented at periodical assemblages where matters of interest to all Indians were to be definitely decided. The twofold influence that was to dominate this league was the eloquence and political ingenuity of Tecumseh and the superstitious reverence aroused by “ the Prophet.” This programme alarmed the whites along the north-western border. In the course of the next three years Governor William Henry Harrison of Indiana held interviews with each of the brothers, and during one of these, at Vincennes in 1810, the respective leaders narrowly avoided a hostile encounter. Nevertheless “the Prophet” and Tecumseh re</w:t>
        <w:softHyphen/>
        <w:t>iterated their determination to remain at peace with the United States if the Indians were unmolested in their territory, and if all cessions beyond the Ohio were given up by the whites. The treaty of Fort Wayne in 1809, which called for the cession to the whites of some three million acres of land in central Indiana, was a direct challenge to this programme, and when, during Tecumseh’s absence in the South, Harrison made a hostile move against “ the Prophet’s ” town, the latter ventured to meet him, but was defeated on the 17th of November 1811 in the famous battle of Tippecanoe, which broke the personal influence of “ the Prophet ” and largely destroyed the confede</w:t>
        <w:softHyphen/>
        <w:t>racy built up by Tecumseh. Tecumseh still professed to be friendly toward the United States, probably because his British advisers were not ready to open hostilities, but a series of border outrages indicated that the fatal moment could not long be postponed. When, in June 1812, war broke out Tecumseh joined the British, was commissioned a brigadier</w:t>
        <w:softHyphen/>
        <w:t>general in the British army, and participated in the skirmishes which preceded General William Hull’s surrender at Detroit. He took an active part in the sieges of Fort Meigs, where he displayed his usual clemency toward his prisoners. After the</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battle of Put-in-Bay, when Colonel Henry Proctor began to retreat from Malden, Tecumseh bitterly reproached </w:t>
      </w:r>
      <w:r>
        <w:rPr>
          <w:rFonts w:ascii="Times New Roman" w:eastAsia="Times New Roman" w:hAnsi="Times New Roman" w:cs="Times New Roman"/>
          <w:color w:val="000000"/>
          <w:spacing w:val="0"/>
          <w:w w:val="100"/>
          <w:position w:val="0"/>
          <w:shd w:val="clear" w:color="auto" w:fill="auto"/>
          <w:lang w:val="de-DE" w:eastAsia="de-DE" w:bidi="de-DE"/>
        </w:rPr>
        <w:t xml:space="preserve">him </w:t>
      </w:r>
      <w:r>
        <w:rPr>
          <w:rFonts w:ascii="Times New Roman" w:eastAsia="Times New Roman" w:hAnsi="Times New Roman" w:cs="Times New Roman"/>
          <w:color w:val="000000"/>
          <w:spacing w:val="0"/>
          <w:w w:val="100"/>
          <w:position w:val="0"/>
          <w:shd w:val="clear" w:color="auto" w:fill="auto"/>
          <w:lang w:val="en-US" w:eastAsia="en-US" w:bidi="en-US"/>
        </w:rPr>
        <w:t>for his cowardice and finally forced him to join battle with Harrison on the Thames river on the 5th of October 1813. In this battle Tecumseh was killed, as traditionally reported, by Colonel Richard Μ. Johnson of Kentucky, although this has never been fully substantiated. Like Pontiac, whom he doubtless imitated consciously, he had a wonderful eloquence and a power of organization rare among the Indians. His brother, “ the Prophet,” remained with a small band of Shawnees and died west of the Mississippi in 1834.</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Beniamin Drake,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Life of Tecumsιh and of his Brother the Prophet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(Cincinnati, 1841); and Homer J Webster,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Harrison’s Administration of Indiana Territory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(Indianapolis, 1907).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TEDDINGTON, </w:t>
      </w:r>
      <w:r>
        <w:rPr>
          <w:rFonts w:ascii="Times New Roman" w:eastAsia="Times New Roman" w:hAnsi="Times New Roman" w:cs="Times New Roman"/>
          <w:color w:val="000000"/>
          <w:spacing w:val="0"/>
          <w:w w:val="100"/>
          <w:position w:val="0"/>
          <w:shd w:val="clear" w:color="auto" w:fill="auto"/>
          <w:lang w:val="en-US" w:eastAsia="en-US" w:bidi="en-US"/>
        </w:rPr>
        <w:t>an urban district in the Uxbridge parlia</w:t>
        <w:softHyphen/>
        <w:t>mentary division of Middlesex, England, close to the Thames, 13 m. W.S.W. of St Paul’s Cathedral, London, on the London and South-Western railway. Pop. (1901) 14,037. The dis</w:t>
        <w:softHyphen/>
        <w:t xml:space="preserve">trict is residential and the town is a resort of visitors both to the river and to Bushey Park, which lies immediately south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Hampton).</w:t>
      </w:r>
      <w:r>
        <w:rPr>
          <w:rFonts w:ascii="Times New Roman" w:eastAsia="Times New Roman" w:hAnsi="Times New Roman" w:cs="Times New Roman"/>
          <w:color w:val="000000"/>
          <w:spacing w:val="0"/>
          <w:w w:val="100"/>
          <w:position w:val="0"/>
          <w:shd w:val="clear" w:color="auto" w:fill="auto"/>
          <w:lang w:val="en-US" w:eastAsia="en-US" w:bidi="en-US"/>
        </w:rPr>
        <w:t xml:space="preserve"> The National Physical Laboratory, for making scientific investigations of industrial importance, and for mechanical testing, was opened in Bushey House in 1902.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TEES, a river of England, rising on the eastward slope of Cross Fell in the Pennine Chain, and traversing a valley about 85 m. in length to the North Sea. In the earliest part of its course it forms the boundary between the counties of West</w:t>
        <w:softHyphen/>
        <w:t>morland and Durham. The head of the valley, of which the upper portion is known as Teesdale, is not without desolate grandeur, the hills, exceeding 2500 ft. in height at some points, consisting of bleak moorland. A succession of falls or rapids, where the river traverses a hard series of black basaltic rocks, is known as Caldron Snout; and from a point immediately below this to its mouth the Tees forms the boundary between Durham and Yorkshire almost without a break. The dale becomes bolder below Caldron Snout, and trees appear, con</w:t>
        <w:softHyphen/>
        <w:t>trasting with the broken rocks where the water dashes over High Force, one of the finest falls in England. The scenery becomes gentler but more picturesque as the river descends past Middleton-in-Teesdale (Durham), the terminus of a branch of the North-Eastern railway from Darlington. In this locality lead and ironstone are worked. The ancient town of Barnard Castle, Eggleston Abbey, and Rokeby Hall, well known through Sir Walter Scott’s poem, are passed; and then the valley begins to open out, and the river traverses in sweeping curves the rich plain east and south of Darlington. The course of the valley hitherto has been generally E.S.E., but it now turns N.E. and, nearing the sea, becomes an important commercial waterway, having on its banks the ports of Stockton-on-Tees, Thornaby-on-Tees and Middlesbrough, and forming an outlet for the rich ironworking district of Cleveland in the North Riding of Yorkshire. It is also navigable for barges up to High Worsall, 11 m. above Stockton. For the last five miles the course, below Middlesbrough, is estuarine. The drainage area is 708 sq. m. No important tributary is received.</w:t>
      </w:r>
    </w:p>
    <w:p>
      <w:pPr>
        <w:pStyle w:val="Style3"/>
        <w:keepNext w:val="0"/>
        <w:keepLines w:val="0"/>
        <w:widowControl w:val="0"/>
        <w:shd w:val="clear" w:color="auto" w:fill="auto"/>
        <w:bidi w:val="0"/>
        <w:spacing w:line="216" w:lineRule="auto"/>
        <w:ind w:left="0" w:firstLine="360"/>
        <w:jc w:val="left"/>
        <w:rPr>
          <w:sz w:val="17"/>
          <w:szCs w:val="17"/>
        </w:rPr>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TEETH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plural of tooth, O.E.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modified papillae or elevations of the mucous membrane of the mouth, impregnated with lime salts. Each tooth has a biting part or crown covered by enamel, a neck where the gum surrounds it, and one or more roots or fangs fitting into sockets (alveoli) in the jaw bone. For surgery of the teeth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Dentistry.</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thirty-two permanent teeth in man, sixteen in the upper and sixteen in the lower jaw; they are also arranged in symmetrical sets of eight teeth on each side. The two teeth on each side of the mid-line in front are “ incisors ” and have chisel-shaped crowns. The mesial or central incisor of the upper jaw is broader than any of the others, consequently it bites against the central and lateral incisors of the lower jaw, and the same want of exact adaptation continues throughout the series, so that every tooth in the upper jaw except the last molar bites against its corresponding tooth of the lower jaw and the tooth behind that.</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name is said to mean "meteor,” or “ flying panther.”</w:t>
      </w:r>
    </w:p>
    <w:p>
      <w:pPr>
        <w:widowControl w:val="0"/>
        <w:spacing w:line="1" w:lineRule="exact"/>
      </w:pPr>
    </w:p>
    <w:sectPr>
      <w:footnotePr>
        <w:pos w:val="pageBottom"/>
        <w:numFmt w:val="decimal"/>
        <w:numRestart w:val="continuous"/>
      </w:footnotePr>
      <w:type w:val="continuous"/>
      <w:pgSz w:w="12240" w:h="15840"/>
      <w:pgMar w:top="1172" w:left="1368" w:right="1107"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