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duty at the </w:t>
      </w:r>
      <w:r>
        <w:rPr>
          <w:rFonts w:ascii="Times New Roman" w:eastAsia="Times New Roman" w:hAnsi="Times New Roman" w:cs="Times New Roman"/>
          <w:color w:val="000000"/>
          <w:spacing w:val="0"/>
          <w:w w:val="100"/>
          <w:position w:val="0"/>
          <w:shd w:val="clear" w:color="auto" w:fill="auto"/>
          <w:lang w:val="de-DE" w:eastAsia="de-DE" w:bidi="de-DE"/>
        </w:rPr>
        <w:t xml:space="preserve">Sulina </w:t>
      </w:r>
      <w:r>
        <w:rPr>
          <w:rFonts w:ascii="Times New Roman" w:eastAsia="Times New Roman" w:hAnsi="Times New Roman" w:cs="Times New Roman"/>
          <w:color w:val="000000"/>
          <w:spacing w:val="0"/>
          <w:w w:val="100"/>
          <w:position w:val="0"/>
          <w:shd w:val="clear" w:color="auto" w:fill="auto"/>
          <w:lang w:val="en-US" w:eastAsia="en-US" w:bidi="en-US"/>
        </w:rPr>
        <w:t xml:space="preserve">mouth of the Danube, which brought him to the favourable notice of the Archduke Maximilian, who in 1854 had been appointed head of the navy with the style of rear-admiral. After some time in a semi-official scientific expedition in Egypt, Arabia, and the Red Sea down to the island of Socotra, Tegetthoff was promoted to the rank of captain of the third class, and in 1858 he commanded the corvette “ </w:t>
      </w:r>
      <w:r>
        <w:rPr>
          <w:rFonts w:ascii="Times New Roman" w:eastAsia="Times New Roman" w:hAnsi="Times New Roman" w:cs="Times New Roman"/>
          <w:color w:val="000000"/>
          <w:spacing w:val="0"/>
          <w:w w:val="100"/>
          <w:position w:val="0"/>
          <w:shd w:val="clear" w:color="auto" w:fill="auto"/>
          <w:lang w:val="de-DE" w:eastAsia="de-DE" w:bidi="de-DE"/>
        </w:rPr>
        <w:t xml:space="preserve">Erzherzog </w:t>
      </w:r>
      <w:r>
        <w:rPr>
          <w:rFonts w:ascii="Times New Roman" w:eastAsia="Times New Roman" w:hAnsi="Times New Roman" w:cs="Times New Roman"/>
          <w:color w:val="000000"/>
          <w:spacing w:val="0"/>
          <w:w w:val="100"/>
          <w:position w:val="0"/>
          <w:shd w:val="clear" w:color="auto" w:fill="auto"/>
          <w:lang w:val="en-US" w:eastAsia="en-US" w:bidi="en-US"/>
        </w:rPr>
        <w:t>Friedrich ” on the coast of Morocco, then in a very disturbed state. The corvette returned to Trieste on the imminence of the war with France; but during 1859 the French fleet commanded the Adriatic in vastly superior force, against which the Austrians were powerless. After the peace Tegetthoff made a voyage to Brazil as aide-de-camp to Maximilian, and in 1860-63 commanded a large frigate in the Levant during the disturbances in Syria, and on the coast of Greece or in the Piraeus at the time of the Greek revolution. Towards the end of 1863 he was sent to the North Sea as com</w:t>
        <w:softHyphen/>
        <w:t>modore in command of two frigates, with which, together with three small Prussian gunboats, he fought an action with the Danish squadron, and though without any decisive success, succeeded in raising the blockade of the mouths of the Elbe and Weser. The Austrian emperor answered Tegetthoff’s tele</w:t>
        <w:softHyphen/>
        <w:t>graphic despatch by another promoting him to be rear-admiral, and conferring on him the Order of the Iron Crown. In 1865 he commanded a small squadron in the Mediterranean, and in the war of 1866 was placed in command of the whole effective force of the Austrian navy. With all his efforts, however, this was markedly inferior to the Italian force opposed to it, and when the two fleets met off Lissa on the 20th of July, the decisive victory of the Austrians was entirely due to the personal superiority of Tegetthoff and the officers whom he in great measure had trained. In numbers, in ships, and in armament the Italians were much the more powerful, but they had neither a capable chief nor efficient officers. Tegetthoff was immedi</w:t>
        <w:softHyphen/>
        <w:t xml:space="preserve">ately promoted, by telegraph, to the rank of vice-admiral, and among the many decorations conferred on him was one from his former commander, the unfortunate Maximilian, at this time emperor of Mexico, whose body was in the following year brought home by Tegetthoff. In March 1868 he was appointed head of the naval section of the War Office and commander-in- chief of the navy, which offices he held till his death at Vienna, after a very short illness, on the 7th of April 1871—in the words of the semi-official notice—“ </w:t>
      </w:r>
      <w:r>
        <w:rPr>
          <w:rFonts w:ascii="Times New Roman" w:eastAsia="Times New Roman" w:hAnsi="Times New Roman" w:cs="Times New Roman"/>
          <w:color w:val="000000"/>
          <w:spacing w:val="0"/>
          <w:w w:val="100"/>
          <w:position w:val="0"/>
          <w:shd w:val="clear" w:color="auto" w:fill="auto"/>
          <w:lang w:val="de-DE" w:eastAsia="de-DE" w:bidi="de-DE"/>
        </w:rPr>
        <w:t>zu früh für Österreich.”</w:t>
      </w:r>
    </w:p>
    <w:p>
      <w:pPr>
        <w:pStyle w:val="Style3"/>
        <w:keepNext w:val="0"/>
        <w:keepLines w:val="0"/>
        <w:widowControl w:val="0"/>
        <w:shd w:val="clear" w:color="auto" w:fill="auto"/>
        <w:bidi w:val="0"/>
        <w:spacing w:line="223"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(J. K. L.)</w:t>
      </w:r>
    </w:p>
    <w:p>
      <w:pPr>
        <w:pStyle w:val="Style3"/>
        <w:keepNext w:val="0"/>
        <w:keepLines w:val="0"/>
        <w:widowControl w:val="0"/>
        <w:shd w:val="clear" w:color="auto" w:fill="auto"/>
        <w:tabs>
          <w:tab w:pos="4014" w:val="left"/>
        </w:tabs>
        <w:bidi w:val="0"/>
        <w:spacing w:line="214"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fr-FR" w:eastAsia="fr-FR" w:bidi="fr-FR"/>
        </w:rPr>
        <w:t xml:space="preserve">TEGGIANO </w:t>
      </w:r>
      <w:r>
        <w:rPr>
          <w:rFonts w:ascii="Times New Roman" w:eastAsia="Times New Roman" w:hAnsi="Times New Roman" w:cs="Times New Roman"/>
          <w:color w:val="000000"/>
          <w:spacing w:val="0"/>
          <w:w w:val="100"/>
          <w:position w:val="0"/>
          <w:shd w:val="clear" w:color="auto" w:fill="auto"/>
          <w:lang w:val="fr-FR" w:eastAsia="fr-FR" w:bidi="fr-FR"/>
        </w:rPr>
        <w:t xml:space="preserve">(anc. </w:t>
      </w:r>
      <w:r>
        <w:rPr>
          <w:rFonts w:ascii="Times New Roman" w:eastAsia="Times New Roman" w:hAnsi="Times New Roman" w:cs="Times New Roman"/>
          <w:i/>
          <w:iCs/>
          <w:color w:val="000000"/>
          <w:spacing w:val="0"/>
          <w:w w:val="100"/>
          <w:position w:val="0"/>
          <w:shd w:val="clear" w:color="auto" w:fill="auto"/>
          <w:lang w:val="fr-FR" w:eastAsia="fr-FR" w:bidi="fr-FR"/>
        </w:rPr>
        <w:t>Tegianum,</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formerly called </w:t>
      </w:r>
      <w:r>
        <w:rPr>
          <w:rFonts w:ascii="Times New Roman" w:eastAsia="Times New Roman" w:hAnsi="Times New Roman" w:cs="Times New Roman"/>
          <w:i/>
          <w:iCs/>
          <w:color w:val="000000"/>
          <w:spacing w:val="0"/>
          <w:w w:val="100"/>
          <w:position w:val="0"/>
          <w:shd w:val="clear" w:color="auto" w:fill="auto"/>
          <w:lang w:val="fr-FR" w:eastAsia="fr-FR" w:bidi="fr-FR"/>
        </w:rPr>
        <w:t>Diano),</w:t>
      </w:r>
      <w:r>
        <w:rPr>
          <w:rFonts w:ascii="Times New Roman" w:eastAsia="Times New Roman" w:hAnsi="Times New Roman" w:cs="Times New Roman"/>
          <w:color w:val="000000"/>
          <w:spacing w:val="0"/>
          <w:w w:val="100"/>
          <w:position w:val="0"/>
          <w:shd w:val="clear" w:color="auto" w:fill="auto"/>
          <w:lang w:val="fr-FR" w:eastAsia="fr-FR" w:bidi="fr-FR"/>
        </w:rPr>
        <w:t xml:space="preserve"> a </w:t>
      </w:r>
      <w:r>
        <w:rPr>
          <w:rFonts w:ascii="Times New Roman" w:eastAsia="Times New Roman" w:hAnsi="Times New Roman" w:cs="Times New Roman"/>
          <w:color w:val="000000"/>
          <w:spacing w:val="0"/>
          <w:w w:val="100"/>
          <w:position w:val="0"/>
          <w:shd w:val="clear" w:color="auto" w:fill="auto"/>
          <w:lang w:val="en-US" w:eastAsia="en-US" w:bidi="en-US"/>
        </w:rPr>
        <w:t xml:space="preserve">town in Campania, Italy, in the province of Salerno, 45 m. S.E. of that town. Pop. (1901) 5095. It is situated 2090 ft. above sea-level on an isolated eminence above the upper part of the valley of the Negro (anc. </w:t>
      </w:r>
      <w:r>
        <w:rPr>
          <w:rFonts w:ascii="Times New Roman" w:eastAsia="Times New Roman" w:hAnsi="Times New Roman" w:cs="Times New Roman"/>
          <w:i/>
          <w:iCs/>
          <w:color w:val="000000"/>
          <w:spacing w:val="0"/>
          <w:w w:val="100"/>
          <w:position w:val="0"/>
          <w:shd w:val="clear" w:color="auto" w:fill="auto"/>
          <w:lang w:val="en-US" w:eastAsia="en-US" w:bidi="en-US"/>
        </w:rPr>
        <w:t>Tanager),</w:t>
      </w:r>
      <w:r>
        <w:rPr>
          <w:rFonts w:ascii="Times New Roman" w:eastAsia="Times New Roman" w:hAnsi="Times New Roman" w:cs="Times New Roman"/>
          <w:color w:val="000000"/>
          <w:spacing w:val="0"/>
          <w:w w:val="100"/>
          <w:position w:val="0"/>
          <w:shd w:val="clear" w:color="auto" w:fill="auto"/>
          <w:lang w:val="en-US" w:eastAsia="en-US" w:bidi="en-US"/>
        </w:rPr>
        <w:t xml:space="preserve"> to which it gives the name of Vai di Diano. It represents the ancient Tegianum a muni</w:t>
        <w:softHyphen/>
        <w:t xml:space="preserve">cipal town of Lucania, made into a colony by Nero, of which the ruins can be traced at the foot of the hill, with an ancient Roman bridge. An Oscan sepulchral inscription in Greek letters has been found here (cf. W. Corssen in </w:t>
      </w:r>
      <w:r>
        <w:rPr>
          <w:rFonts w:ascii="Times New Roman" w:eastAsia="Times New Roman" w:hAnsi="Times New Roman" w:cs="Times New Roman"/>
          <w:i/>
          <w:iCs/>
          <w:color w:val="000000"/>
          <w:spacing w:val="0"/>
          <w:w w:val="100"/>
          <w:position w:val="0"/>
          <w:shd w:val="clear" w:color="auto" w:fill="auto"/>
          <w:lang w:val="en-US" w:eastAsia="en-US" w:bidi="en-US"/>
        </w:rPr>
        <w:t>Ephemeris Epi- grafica,</w:t>
      </w:r>
      <w:r>
        <w:rPr>
          <w:rFonts w:ascii="Times New Roman" w:eastAsia="Times New Roman" w:hAnsi="Times New Roman" w:cs="Times New Roman"/>
          <w:color w:val="000000"/>
          <w:spacing w:val="0"/>
          <w:w w:val="100"/>
          <w:position w:val="0"/>
          <w:shd w:val="clear" w:color="auto" w:fill="auto"/>
          <w:lang w:val="en-US" w:eastAsia="en-US" w:bidi="en-US"/>
        </w:rPr>
        <w:t xml:space="preserve"> ii. 153). It possesses a castle, several churches of some interest, and three conventual buildings. In 1497 it was strong enough to resist, under Antonio Sanseverino of Salerno, the siege undertaken by Frederick of Aragon.</w:t>
        <w:tab/>
        <w:t>(T. As.)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fr-FR" w:eastAsia="fr-FR" w:bidi="fr-FR"/>
        </w:rPr>
        <w:t xml:space="preserve">TEGNÉR,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ESAIAS </w:t>
      </w:r>
      <w:r>
        <w:rPr>
          <w:rFonts w:ascii="Times New Roman" w:eastAsia="Times New Roman" w:hAnsi="Times New Roman" w:cs="Times New Roman"/>
          <w:color w:val="000000"/>
          <w:spacing w:val="0"/>
          <w:w w:val="100"/>
          <w:position w:val="0"/>
          <w:shd w:val="clear" w:color="auto" w:fill="auto"/>
          <w:lang w:val="en-US" w:eastAsia="en-US" w:bidi="en-US"/>
        </w:rPr>
        <w:t xml:space="preserve">(1782-1846), Swedish writer, was born on the 13th of November 1782, at Kyrkerud in Wermland. His father was a pastor, and his grandparents on both sides were peasants. His father, whose name had been Esaias Lucasson, took the surname of Tegnerus—altered by his fifth son, the poet, to </w:t>
      </w:r>
      <w:r>
        <w:rPr>
          <w:rFonts w:ascii="Times New Roman" w:eastAsia="Times New Roman" w:hAnsi="Times New Roman" w:cs="Times New Roman"/>
          <w:color w:val="000000"/>
          <w:spacing w:val="0"/>
          <w:w w:val="100"/>
          <w:position w:val="0"/>
          <w:shd w:val="clear" w:color="auto" w:fill="auto"/>
          <w:lang w:val="fr-FR" w:eastAsia="fr-FR" w:bidi="fr-FR"/>
        </w:rPr>
        <w:t>Tegnér</w:t>
      </w:r>
      <w:r>
        <w:rPr>
          <w:rFonts w:ascii="Times New Roman" w:eastAsia="Times New Roman" w:hAnsi="Times New Roman" w:cs="Times New Roman"/>
          <w:color w:val="000000"/>
          <w:spacing w:val="0"/>
          <w:w w:val="100"/>
          <w:position w:val="0"/>
          <w:shd w:val="clear" w:color="auto" w:fill="auto"/>
          <w:lang w:val="en-US" w:eastAsia="en-US" w:bidi="en-US"/>
        </w:rPr>
        <w:t xml:space="preserve">—from the hamlet of Tegnaby in Småland, where he was born. In 1792 Tegnerus died. In 1799 Esaias </w:t>
      </w:r>
      <w:r>
        <w:rPr>
          <w:rFonts w:ascii="Times New Roman" w:eastAsia="Times New Roman" w:hAnsi="Times New Roman" w:cs="Times New Roman"/>
          <w:color w:val="000000"/>
          <w:spacing w:val="0"/>
          <w:w w:val="100"/>
          <w:position w:val="0"/>
          <w:shd w:val="clear" w:color="auto" w:fill="auto"/>
          <w:lang w:val="fr-FR" w:eastAsia="fr-FR" w:bidi="fr-FR"/>
        </w:rPr>
        <w:t xml:space="preserve">Tegnér, </w:t>
      </w:r>
      <w:r>
        <w:rPr>
          <w:rFonts w:ascii="Times New Roman" w:eastAsia="Times New Roman" w:hAnsi="Times New Roman" w:cs="Times New Roman"/>
          <w:color w:val="000000"/>
          <w:spacing w:val="0"/>
          <w:w w:val="100"/>
          <w:position w:val="0"/>
          <w:shd w:val="clear" w:color="auto" w:fill="auto"/>
          <w:lang w:val="en-US" w:eastAsia="en-US" w:bidi="en-US"/>
        </w:rPr>
        <w:t>hitherto educated in the country, entered the university of Lund, where he graduated in philosophy in 1802, and con</w:t>
        <w:softHyphen/>
        <w:t xml:space="preserve">tinued as tutor until 1810, when he was elected Greek lecturer. In 1806 he married Anna Maria Gustava Myhrman, to whom he had been attached since his earliest youth. In 1812 he was named professor, and continued to work as a lecturer in Lund until 1824, when he was made bishop of Vexiö. At Vexiö he </w:t>
      </w:r>
      <w:r>
        <w:rPr>
          <w:rFonts w:ascii="Times New Roman" w:eastAsia="Times New Roman" w:hAnsi="Times New Roman" w:cs="Times New Roman"/>
          <w:color w:val="000000"/>
          <w:spacing w:val="0"/>
          <w:w w:val="100"/>
          <w:position w:val="0"/>
          <w:shd w:val="clear" w:color="auto" w:fill="auto"/>
          <w:lang w:val="en-US" w:eastAsia="en-US" w:bidi="en-US"/>
        </w:rPr>
        <w:t>remained until his death, twenty-two years later. Tegnér’s early poems have little merit. He was comparatively slow in development. His first great success was a dithyrambic war</w:t>
        <w:softHyphen/>
        <w:t xml:space="preserve">song for the army of 1808, which stirred every Swedish heart. In 1811 his patriotic poem </w:t>
      </w:r>
      <w:r>
        <w:rPr>
          <w:rFonts w:ascii="Times New Roman" w:eastAsia="Times New Roman" w:hAnsi="Times New Roman" w:cs="Times New Roman"/>
          <w:i/>
          <w:iCs/>
          <w:color w:val="000000"/>
          <w:spacing w:val="0"/>
          <w:w w:val="100"/>
          <w:position w:val="0"/>
          <w:shd w:val="clear" w:color="auto" w:fill="auto"/>
          <w:lang w:val="en-US" w:eastAsia="en-US" w:bidi="en-US"/>
        </w:rPr>
        <w:t>Sυea</w:t>
      </w:r>
      <w:r>
        <w:rPr>
          <w:rFonts w:ascii="Times New Roman" w:eastAsia="Times New Roman" w:hAnsi="Times New Roman" w:cs="Times New Roman"/>
          <w:color w:val="000000"/>
          <w:spacing w:val="0"/>
          <w:w w:val="100"/>
          <w:position w:val="0"/>
          <w:shd w:val="clear" w:color="auto" w:fill="auto"/>
          <w:lang w:val="en-US" w:eastAsia="en-US" w:bidi="en-US"/>
        </w:rPr>
        <w:t xml:space="preserve"> won the great prize of the Swedish Academy, and made him famous. In the same year was founded in Stockholm the Gothic League </w:t>
      </w:r>
      <w:r>
        <w:rPr>
          <w:rFonts w:ascii="Times New Roman" w:eastAsia="Times New Roman" w:hAnsi="Times New Roman" w:cs="Times New Roman"/>
          <w:i/>
          <w:iCs/>
          <w:color w:val="000000"/>
          <w:spacing w:val="0"/>
          <w:w w:val="100"/>
          <w:position w:val="0"/>
          <w:shd w:val="clear" w:color="auto" w:fill="auto"/>
          <w:lang w:val="en-US" w:eastAsia="en-US" w:bidi="en-US"/>
        </w:rPr>
        <w:t>(Götiska for buri- det),</w:t>
      </w:r>
      <w:r>
        <w:rPr>
          <w:rFonts w:ascii="Times New Roman" w:eastAsia="Times New Roman" w:hAnsi="Times New Roman" w:cs="Times New Roman"/>
          <w:color w:val="000000"/>
          <w:spacing w:val="0"/>
          <w:w w:val="100"/>
          <w:position w:val="0"/>
          <w:shd w:val="clear" w:color="auto" w:fill="auto"/>
          <w:lang w:val="en-US" w:eastAsia="en-US" w:bidi="en-US"/>
        </w:rPr>
        <w:t xml:space="preserve"> a sort of club of young and patriotic men of letters, of whom </w:t>
      </w:r>
      <w:r>
        <w:rPr>
          <w:rFonts w:ascii="Times New Roman" w:eastAsia="Times New Roman" w:hAnsi="Times New Roman" w:cs="Times New Roman"/>
          <w:color w:val="000000"/>
          <w:spacing w:val="0"/>
          <w:w w:val="100"/>
          <w:position w:val="0"/>
          <w:shd w:val="clear" w:color="auto" w:fill="auto"/>
          <w:lang w:val="fr-FR" w:eastAsia="fr-FR" w:bidi="fr-FR"/>
        </w:rPr>
        <w:t xml:space="preserve">Tegnér </w:t>
      </w:r>
      <w:r>
        <w:rPr>
          <w:rFonts w:ascii="Times New Roman" w:eastAsia="Times New Roman" w:hAnsi="Times New Roman" w:cs="Times New Roman"/>
          <w:color w:val="000000"/>
          <w:spacing w:val="0"/>
          <w:w w:val="100"/>
          <w:position w:val="0"/>
          <w:shd w:val="clear" w:color="auto" w:fill="auto"/>
          <w:lang w:val="en-US" w:eastAsia="en-US" w:bidi="en-US"/>
        </w:rPr>
        <w:t xml:space="preserve">quickly became the chief. The club published a magazine, entitled </w:t>
      </w:r>
      <w:r>
        <w:rPr>
          <w:rFonts w:ascii="Times New Roman" w:eastAsia="Times New Roman" w:hAnsi="Times New Roman" w:cs="Times New Roman"/>
          <w:i/>
          <w:iCs/>
          <w:color w:val="000000"/>
          <w:spacing w:val="0"/>
          <w:w w:val="100"/>
          <w:position w:val="0"/>
          <w:shd w:val="clear" w:color="auto" w:fill="auto"/>
          <w:lang w:val="de-DE" w:eastAsia="de-DE" w:bidi="de-DE"/>
        </w:rPr>
        <w:t>Iduna,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which it printed a great deal of excellent poetry, and ventilated its views, particularly as regards the study of old Icelandic literature and history. </w:t>
      </w:r>
      <w:r>
        <w:rPr>
          <w:rFonts w:ascii="Times New Roman" w:eastAsia="Times New Roman" w:hAnsi="Times New Roman" w:cs="Times New Roman"/>
          <w:color w:val="000000"/>
          <w:spacing w:val="0"/>
          <w:w w:val="100"/>
          <w:position w:val="0"/>
          <w:shd w:val="clear" w:color="auto" w:fill="auto"/>
          <w:lang w:val="fr-FR" w:eastAsia="fr-FR" w:bidi="fr-FR"/>
        </w:rPr>
        <w:t xml:space="preserve">Tegnér, </w:t>
      </w:r>
      <w:r>
        <w:rPr>
          <w:rFonts w:ascii="Times New Roman" w:eastAsia="Times New Roman" w:hAnsi="Times New Roman" w:cs="Times New Roman"/>
          <w:color w:val="000000"/>
          <w:spacing w:val="0"/>
          <w:w w:val="100"/>
          <w:position w:val="0"/>
          <w:shd w:val="clear" w:color="auto" w:fill="auto"/>
          <w:lang w:val="en-US" w:eastAsia="en-US" w:bidi="en-US"/>
        </w:rPr>
        <w:t xml:space="preserve">Geijer, Afzelius, and Nicander became the most famous members of the Gothic League. Of the very numerous poems written by </w:t>
      </w:r>
      <w:r>
        <w:rPr>
          <w:rFonts w:ascii="Times New Roman" w:eastAsia="Times New Roman" w:hAnsi="Times New Roman" w:cs="Times New Roman"/>
          <w:color w:val="000000"/>
          <w:spacing w:val="0"/>
          <w:w w:val="100"/>
          <w:position w:val="0"/>
          <w:shd w:val="clear" w:color="auto" w:fill="auto"/>
          <w:lang w:val="fr-FR" w:eastAsia="fr-FR" w:bidi="fr-FR"/>
        </w:rPr>
        <w:t xml:space="preserve">Tegnér </w:t>
      </w:r>
      <w:r>
        <w:rPr>
          <w:rFonts w:ascii="Times New Roman" w:eastAsia="Times New Roman" w:hAnsi="Times New Roman" w:cs="Times New Roman"/>
          <w:color w:val="000000"/>
          <w:spacing w:val="0"/>
          <w:w w:val="100"/>
          <w:position w:val="0"/>
          <w:shd w:val="clear" w:color="auto" w:fill="auto"/>
          <w:lang w:val="en-US" w:eastAsia="en-US" w:bidi="en-US"/>
        </w:rPr>
        <w:t xml:space="preserve">in the little room at Lund which is now shown to visitors as the </w:t>
      </w:r>
      <w:r>
        <w:rPr>
          <w:rFonts w:ascii="Times New Roman" w:eastAsia="Times New Roman" w:hAnsi="Times New Roman" w:cs="Times New Roman"/>
          <w:color w:val="000000"/>
          <w:spacing w:val="0"/>
          <w:w w:val="100"/>
          <w:position w:val="0"/>
          <w:shd w:val="clear" w:color="auto" w:fill="auto"/>
          <w:lang w:val="fr-FR" w:eastAsia="fr-FR" w:bidi="fr-FR"/>
        </w:rPr>
        <w:t xml:space="preserve">Tegnér </w:t>
      </w:r>
      <w:r>
        <w:rPr>
          <w:rFonts w:ascii="Times New Roman" w:eastAsia="Times New Roman" w:hAnsi="Times New Roman" w:cs="Times New Roman"/>
          <w:color w:val="000000"/>
          <w:spacing w:val="0"/>
          <w:w w:val="100"/>
          <w:position w:val="0"/>
          <w:shd w:val="clear" w:color="auto" w:fill="auto"/>
          <w:lang w:val="en-US" w:eastAsia="en-US" w:bidi="en-US"/>
        </w:rPr>
        <w:t xml:space="preserve">museum, the majority are short, and even occasional lyrics. His celebrated </w:t>
      </w:r>
      <w:r>
        <w:rPr>
          <w:rFonts w:ascii="Times New Roman" w:eastAsia="Times New Roman" w:hAnsi="Times New Roman" w:cs="Times New Roman"/>
          <w:i/>
          <w:iCs/>
          <w:color w:val="000000"/>
          <w:spacing w:val="0"/>
          <w:w w:val="100"/>
          <w:position w:val="0"/>
          <w:shd w:val="clear" w:color="auto" w:fill="auto"/>
          <w:lang w:val="en-US" w:eastAsia="en-US" w:bidi="en-US"/>
        </w:rPr>
        <w:t>Song to the Sun</w:t>
      </w:r>
      <w:r>
        <w:rPr>
          <w:rFonts w:ascii="Times New Roman" w:eastAsia="Times New Roman" w:hAnsi="Times New Roman" w:cs="Times New Roman"/>
          <w:color w:val="000000"/>
          <w:spacing w:val="0"/>
          <w:w w:val="100"/>
          <w:position w:val="0"/>
          <w:shd w:val="clear" w:color="auto" w:fill="auto"/>
          <w:lang w:val="en-US" w:eastAsia="en-US" w:bidi="en-US"/>
        </w:rPr>
        <w:t xml:space="preserve"> dates from 1817. He completed three poems of a more ambitious character, on which his fame chiefly rests. Of these, two, the romance of </w:t>
      </w:r>
      <w:r>
        <w:rPr>
          <w:rFonts w:ascii="Times New Roman" w:eastAsia="Times New Roman" w:hAnsi="Times New Roman" w:cs="Times New Roman"/>
          <w:i/>
          <w:iCs/>
          <w:color w:val="000000"/>
          <w:spacing w:val="0"/>
          <w:w w:val="100"/>
          <w:position w:val="0"/>
          <w:shd w:val="clear" w:color="auto" w:fill="auto"/>
          <w:lang w:val="en-US" w:eastAsia="en-US" w:bidi="en-US"/>
        </w:rPr>
        <w:t>Axel</w:t>
      </w:r>
      <w:r>
        <w:rPr>
          <w:rFonts w:ascii="Times New Roman" w:eastAsia="Times New Roman" w:hAnsi="Times New Roman" w:cs="Times New Roman"/>
          <w:color w:val="000000"/>
          <w:spacing w:val="0"/>
          <w:w w:val="100"/>
          <w:position w:val="0"/>
          <w:shd w:val="clear" w:color="auto" w:fill="auto"/>
          <w:lang w:val="en-US" w:eastAsia="en-US" w:bidi="en-US"/>
        </w:rPr>
        <w:t xml:space="preserve"> (1822) and the delicately-chiselled idyl of </w:t>
      </w:r>
      <w:r>
        <w:rPr>
          <w:rFonts w:ascii="Times New Roman" w:eastAsia="Times New Roman" w:hAnsi="Times New Roman" w:cs="Times New Roman"/>
          <w:i/>
          <w:iCs/>
          <w:color w:val="000000"/>
          <w:spacing w:val="0"/>
          <w:w w:val="100"/>
          <w:position w:val="0"/>
          <w:shd w:val="clear" w:color="auto" w:fill="auto"/>
          <w:lang w:val="en-US" w:eastAsia="en-US" w:bidi="en-US"/>
        </w:rPr>
        <w:t>Nattvardsbarnen</w:t>
      </w:r>
      <w:r>
        <w:rPr>
          <w:rFonts w:ascii="Times New Roman" w:eastAsia="Times New Roman" w:hAnsi="Times New Roman" w:cs="Times New Roman"/>
          <w:color w:val="000000"/>
          <w:spacing w:val="0"/>
          <w:w w:val="100"/>
          <w:position w:val="0"/>
          <w:shd w:val="clear" w:color="auto" w:fill="auto"/>
          <w:lang w:val="en-US" w:eastAsia="en-US" w:bidi="en-US"/>
        </w:rPr>
        <w:t xml:space="preserve"> (“ The First Communion,” 1820), translated by Longfellow, take a secondary place in comparison with Tegnér’s masterpiece, of world-wide fame. In 1820 he pub</w:t>
        <w:softHyphen/>
        <w:t xml:space="preserve">lished in </w:t>
      </w:r>
      <w:r>
        <w:rPr>
          <w:rFonts w:ascii="Times New Roman" w:eastAsia="Times New Roman" w:hAnsi="Times New Roman" w:cs="Times New Roman"/>
          <w:i/>
          <w:iCs/>
          <w:color w:val="000000"/>
          <w:spacing w:val="0"/>
          <w:w w:val="100"/>
          <w:position w:val="0"/>
          <w:shd w:val="clear" w:color="auto" w:fill="auto"/>
          <w:lang w:val="de-DE" w:eastAsia="de-DE" w:bidi="de-DE"/>
        </w:rPr>
        <w:t>Iduna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certain fragments of an epic or cycle of epical pieces, on which he was then working, </w:t>
      </w:r>
      <w:r>
        <w:rPr>
          <w:rFonts w:ascii="Times New Roman" w:eastAsia="Times New Roman" w:hAnsi="Times New Roman" w:cs="Times New Roman"/>
          <w:i/>
          <w:iCs/>
          <w:color w:val="000000"/>
          <w:spacing w:val="0"/>
          <w:w w:val="100"/>
          <w:position w:val="0"/>
          <w:shd w:val="clear" w:color="auto" w:fill="auto"/>
          <w:lang w:val="en-US" w:eastAsia="en-US" w:bidi="en-US"/>
        </w:rPr>
        <w:t>Frithjofs saga</w:t>
      </w:r>
      <w:r>
        <w:rPr>
          <w:rFonts w:ascii="Times New Roman" w:eastAsia="Times New Roman" w:hAnsi="Times New Roman" w:cs="Times New Roman"/>
          <w:color w:val="000000"/>
          <w:spacing w:val="0"/>
          <w:w w:val="100"/>
          <w:position w:val="0"/>
          <w:shd w:val="clear" w:color="auto" w:fill="auto"/>
          <w:lang w:val="en-US" w:eastAsia="en-US" w:bidi="en-US"/>
        </w:rPr>
        <w:t xml:space="preserve"> or the Story of Frithiof. In 1822 he published five mere cantos, and in 1825 the entire poem. Before it was completed it was famous throughout Europe; the aged Goethe took up his pen to commend to his countrymen this “ </w:t>
      </w:r>
      <w:r>
        <w:rPr>
          <w:rFonts w:ascii="Times New Roman" w:eastAsia="Times New Roman" w:hAnsi="Times New Roman" w:cs="Times New Roman"/>
          <w:color w:val="000000"/>
          <w:spacing w:val="0"/>
          <w:w w:val="100"/>
          <w:position w:val="0"/>
          <w:shd w:val="clear" w:color="auto" w:fill="auto"/>
          <w:lang w:val="de-DE" w:eastAsia="de-DE" w:bidi="de-DE"/>
        </w:rPr>
        <w:t>alte, kräftige, gigantisch</w:t>
        <w:softHyphen/>
        <w:t xml:space="preserve">barbarische Dichtart,” </w:t>
      </w:r>
      <w:r>
        <w:rPr>
          <w:rFonts w:ascii="Times New Roman" w:eastAsia="Times New Roman" w:hAnsi="Times New Roman" w:cs="Times New Roman"/>
          <w:color w:val="000000"/>
          <w:spacing w:val="0"/>
          <w:w w:val="100"/>
          <w:position w:val="0"/>
          <w:shd w:val="clear" w:color="auto" w:fill="auto"/>
          <w:lang w:val="en-US" w:eastAsia="en-US" w:bidi="en-US"/>
        </w:rPr>
        <w:t xml:space="preserve">and desired Amalie von Imhoff to translate it into German. This romantic paraphrase of an ancient saga was composed in twenty-four cantos, all differing in verse form, modelled somewhat, it is only fair to say, on an earlier Danish masterpiece, the </w:t>
      </w:r>
      <w:r>
        <w:rPr>
          <w:rFonts w:ascii="Times New Roman" w:eastAsia="Times New Roman" w:hAnsi="Times New Roman" w:cs="Times New Roman"/>
          <w:i/>
          <w:iCs/>
          <w:color w:val="000000"/>
          <w:spacing w:val="0"/>
          <w:w w:val="100"/>
          <w:position w:val="0"/>
          <w:shd w:val="clear" w:color="auto" w:fill="auto"/>
          <w:lang w:val="en-US" w:eastAsia="en-US" w:bidi="en-US"/>
        </w:rPr>
        <w:t>Helge</w:t>
      </w:r>
      <w:r>
        <w:rPr>
          <w:rFonts w:ascii="Times New Roman" w:eastAsia="Times New Roman" w:hAnsi="Times New Roman" w:cs="Times New Roman"/>
          <w:color w:val="000000"/>
          <w:spacing w:val="0"/>
          <w:w w:val="100"/>
          <w:position w:val="0"/>
          <w:shd w:val="clear" w:color="auto" w:fill="auto"/>
          <w:lang w:val="en-US" w:eastAsia="en-US" w:bidi="en-US"/>
        </w:rPr>
        <w:t xml:space="preserve"> of öhlenschläger. </w:t>
      </w:r>
      <w:r>
        <w:rPr>
          <w:rFonts w:ascii="Times New Roman" w:eastAsia="Times New Roman" w:hAnsi="Times New Roman" w:cs="Times New Roman"/>
          <w:i/>
          <w:iCs/>
          <w:color w:val="000000"/>
          <w:spacing w:val="0"/>
          <w:w w:val="100"/>
          <w:position w:val="0"/>
          <w:shd w:val="clear" w:color="auto" w:fill="auto"/>
          <w:lang w:val="en-US" w:eastAsia="en-US" w:bidi="en-US"/>
        </w:rPr>
        <w:t>Frithjofs saga</w:t>
      </w:r>
      <w:r>
        <w:rPr>
          <w:rFonts w:ascii="Times New Roman" w:eastAsia="Times New Roman" w:hAnsi="Times New Roman" w:cs="Times New Roman"/>
          <w:color w:val="000000"/>
          <w:spacing w:val="0"/>
          <w:w w:val="100"/>
          <w:position w:val="0"/>
          <w:shd w:val="clear" w:color="auto" w:fill="auto"/>
          <w:lang w:val="en-US" w:eastAsia="en-US" w:bidi="en-US"/>
        </w:rPr>
        <w:t xml:space="preserve"> is the best known of all Swedish productions; it is said to have been translated twenty-two times into English, twenty times into German, and once at least into every European language. It is far from satisfying the demands of more recent antiquarian research, but it still is allowed to give the freshest existing impression, in imaginative form, of life in early Scandinavia. In later years </w:t>
      </w:r>
      <w:r>
        <w:rPr>
          <w:rFonts w:ascii="Times New Roman" w:eastAsia="Times New Roman" w:hAnsi="Times New Roman" w:cs="Times New Roman"/>
          <w:color w:val="000000"/>
          <w:spacing w:val="0"/>
          <w:w w:val="100"/>
          <w:position w:val="0"/>
          <w:shd w:val="clear" w:color="auto" w:fill="auto"/>
          <w:lang w:val="fr-FR" w:eastAsia="fr-FR" w:bidi="fr-FR"/>
        </w:rPr>
        <w:t xml:space="preserve">Tegnér </w:t>
      </w:r>
      <w:r>
        <w:rPr>
          <w:rFonts w:ascii="Times New Roman" w:eastAsia="Times New Roman" w:hAnsi="Times New Roman" w:cs="Times New Roman"/>
          <w:color w:val="000000"/>
          <w:spacing w:val="0"/>
          <w:w w:val="100"/>
          <w:position w:val="0"/>
          <w:shd w:val="clear" w:color="auto" w:fill="auto"/>
          <w:lang w:val="en-US" w:eastAsia="en-US" w:bidi="en-US"/>
        </w:rPr>
        <w:t>began, but left un</w:t>
        <w:softHyphen/>
        <w:t xml:space="preserve">finished, two important epical poems, </w:t>
      </w:r>
      <w:r>
        <w:rPr>
          <w:rFonts w:ascii="Times New Roman" w:eastAsia="Times New Roman" w:hAnsi="Times New Roman" w:cs="Times New Roman"/>
          <w:i/>
          <w:iCs/>
          <w:color w:val="000000"/>
          <w:spacing w:val="0"/>
          <w:w w:val="100"/>
          <w:position w:val="0"/>
          <w:shd w:val="clear" w:color="auto" w:fill="auto"/>
          <w:lang w:val="en-US" w:eastAsia="en-US" w:bidi="en-US"/>
        </w:rPr>
        <w:t>Gerda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Kronbruden. </w:t>
      </w:r>
      <w:r>
        <w:rPr>
          <w:rFonts w:ascii="Times New Roman" w:eastAsia="Times New Roman" w:hAnsi="Times New Roman" w:cs="Times New Roman"/>
          <w:color w:val="000000"/>
          <w:spacing w:val="0"/>
          <w:w w:val="100"/>
          <w:position w:val="0"/>
          <w:shd w:val="clear" w:color="auto" w:fill="auto"/>
          <w:lang w:val="en-US" w:eastAsia="en-US" w:bidi="en-US"/>
        </w:rPr>
        <w:t xml:space="preserve">The period of the publication of </w:t>
      </w:r>
      <w:r>
        <w:rPr>
          <w:rFonts w:ascii="Times New Roman" w:eastAsia="Times New Roman" w:hAnsi="Times New Roman" w:cs="Times New Roman"/>
          <w:i/>
          <w:iCs/>
          <w:color w:val="000000"/>
          <w:spacing w:val="0"/>
          <w:w w:val="100"/>
          <w:position w:val="0"/>
          <w:shd w:val="clear" w:color="auto" w:fill="auto"/>
          <w:lang w:val="en-US" w:eastAsia="en-US" w:bidi="en-US"/>
        </w:rPr>
        <w:t>Frithjofs saga</w:t>
      </w:r>
      <w:r>
        <w:rPr>
          <w:rFonts w:ascii="Times New Roman" w:eastAsia="Times New Roman" w:hAnsi="Times New Roman" w:cs="Times New Roman"/>
          <w:color w:val="000000"/>
          <w:spacing w:val="0"/>
          <w:w w:val="100"/>
          <w:position w:val="0"/>
          <w:shd w:val="clear" w:color="auto" w:fill="auto"/>
          <w:lang w:val="en-US" w:eastAsia="en-US" w:bidi="en-US"/>
        </w:rPr>
        <w:t xml:space="preserve"> (1825) was the critical epoch of his career. It made him one of the most famous poets in Europe; it transferred him from his study in Lund to the bishop’s palace in Vexiö; it marked the first breakdown of his health, which had hitherto been excellent; and it witnessed a singular moral crisis in the inner history of the poet, about which much has been written, but of which little is known. </w:t>
      </w:r>
      <w:r>
        <w:rPr>
          <w:rFonts w:ascii="Times New Roman" w:eastAsia="Times New Roman" w:hAnsi="Times New Roman" w:cs="Times New Roman"/>
          <w:color w:val="000000"/>
          <w:spacing w:val="0"/>
          <w:w w:val="100"/>
          <w:position w:val="0"/>
          <w:shd w:val="clear" w:color="auto" w:fill="auto"/>
          <w:lang w:val="fr-FR" w:eastAsia="fr-FR" w:bidi="fr-FR"/>
        </w:rPr>
        <w:t xml:space="preserve">Tegnér </w:t>
      </w:r>
      <w:r>
        <w:rPr>
          <w:rFonts w:ascii="Times New Roman" w:eastAsia="Times New Roman" w:hAnsi="Times New Roman" w:cs="Times New Roman"/>
          <w:color w:val="000000"/>
          <w:spacing w:val="0"/>
          <w:w w:val="100"/>
          <w:position w:val="0"/>
          <w:shd w:val="clear" w:color="auto" w:fill="auto"/>
          <w:lang w:val="en-US" w:eastAsia="en-US" w:bidi="en-US"/>
        </w:rPr>
        <w:t>was at this time passionately in love with a certain beautiful Euphrosyne Palm, the wife of a town councillor in Lund, and this unfortunate passion, while it in</w:t>
        <w:softHyphen/>
        <w:t xml:space="preserve">spired much of his finest poetry, turned the poet’s blood to gall. From this time forward the heartlessness of woman is one of Tegnér’s principal themes. It is a remarkable sign of the condition of Sweden at that time that a man not in holy orders, and so little in possession of the religious temperament as </w:t>
      </w:r>
      <w:r>
        <w:rPr>
          <w:rFonts w:ascii="Times New Roman" w:eastAsia="Times New Roman" w:hAnsi="Times New Roman" w:cs="Times New Roman"/>
          <w:color w:val="000000"/>
          <w:spacing w:val="0"/>
          <w:w w:val="100"/>
          <w:position w:val="0"/>
          <w:shd w:val="clear" w:color="auto" w:fill="auto"/>
          <w:lang w:val="fr-FR" w:eastAsia="fr-FR" w:bidi="fr-FR"/>
        </w:rPr>
        <w:t xml:space="preserve">Tegnér, </w:t>
      </w:r>
      <w:r>
        <w:rPr>
          <w:rFonts w:ascii="Times New Roman" w:eastAsia="Times New Roman" w:hAnsi="Times New Roman" w:cs="Times New Roman"/>
          <w:color w:val="000000"/>
          <w:spacing w:val="0"/>
          <w:w w:val="100"/>
          <w:position w:val="0"/>
          <w:shd w:val="clear" w:color="auto" w:fill="auto"/>
          <w:lang w:val="en-US" w:eastAsia="en-US" w:bidi="en-US"/>
        </w:rPr>
        <w:t xml:space="preserve">should be offered and should accept a bishop’s crosier. He did not hesitate in accepting it: it was a great honour; he was poor; and he was anxious to get away from Lund. No sooner, however, had he begun to study for his new duties than he began to regret the step he had taken. It was nevertheless too late to go back, and </w:t>
      </w:r>
      <w:r>
        <w:rPr>
          <w:rFonts w:ascii="Times New Roman" w:eastAsia="Times New Roman" w:hAnsi="Times New Roman" w:cs="Times New Roman"/>
          <w:color w:val="000000"/>
          <w:spacing w:val="0"/>
          <w:w w:val="100"/>
          <w:position w:val="0"/>
          <w:shd w:val="clear" w:color="auto" w:fill="auto"/>
          <w:lang w:val="fr-FR" w:eastAsia="fr-FR" w:bidi="fr-FR"/>
        </w:rPr>
        <w:t xml:space="preserve">Tegnér </w:t>
      </w:r>
      <w:r>
        <w:rPr>
          <w:rFonts w:ascii="Times New Roman" w:eastAsia="Times New Roman" w:hAnsi="Times New Roman" w:cs="Times New Roman"/>
          <w:color w:val="000000"/>
          <w:spacing w:val="0"/>
          <w:w w:val="100"/>
          <w:position w:val="0"/>
          <w:shd w:val="clear" w:color="auto" w:fill="auto"/>
          <w:lang w:val="en-US" w:eastAsia="en-US" w:bidi="en-US"/>
        </w:rPr>
        <w:t xml:space="preserve">made a respectable bishop as long as his health lasted. But he became moody and melancholy; as early as 1833 he complained of fiery heats in his brain, and in 1840, during a visit to Stockholm, he suddenly became insane. He was sent to an asylum in Schleswig, and early in 1841 he was cured, and able to return to Vexiö. It was during his convalescence in Schleswig that he composed </w:t>
      </w:r>
      <w:r>
        <w:rPr>
          <w:rFonts w:ascii="Times New Roman" w:eastAsia="Times New Roman" w:hAnsi="Times New Roman" w:cs="Times New Roman"/>
          <w:i/>
          <w:iCs/>
          <w:color w:val="000000"/>
          <w:spacing w:val="0"/>
          <w:w w:val="100"/>
          <w:position w:val="0"/>
          <w:shd w:val="clear" w:color="auto" w:fill="auto"/>
          <w:lang w:val="en-US" w:eastAsia="en-US" w:bidi="en-US"/>
        </w:rPr>
        <w:t>Kron- bruden.</w:t>
      </w:r>
      <w:r>
        <w:rPr>
          <w:rFonts w:ascii="Times New Roman" w:eastAsia="Times New Roman" w:hAnsi="Times New Roman" w:cs="Times New Roman"/>
          <w:color w:val="000000"/>
          <w:spacing w:val="0"/>
          <w:w w:val="100"/>
          <w:position w:val="0"/>
          <w:shd w:val="clear" w:color="auto" w:fill="auto"/>
          <w:lang w:val="en-US" w:eastAsia="en-US" w:bidi="en-US"/>
        </w:rPr>
        <w:t xml:space="preserve"> He wrote no more of importance; in 1843 he had a stroke of apoplexy, and on the 2nd of November 1846 he died in Vexiö. From 1819 he had been a member of the Swedish</w:t>
      </w:r>
    </w:p>
    <w:sectPr>
      <w:footnotePr>
        <w:pos w:val="pageBottom"/>
        <w:numFmt w:val="decimal"/>
        <w:numRestart w:val="continuous"/>
      </w:footnotePr>
      <w:pgSz w:w="12240" w:h="15840"/>
      <w:pgMar w:top="948" w:left="897" w:right="913" w:bottom="5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