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Academy, where he was succeeded by his biographer and best imitator Böttiger.</w:t>
      </w:r>
    </w:p>
    <w:p>
      <w:pPr>
        <w:pStyle w:val="Style3"/>
        <w:keepNext w:val="0"/>
        <w:keepLines w:val="0"/>
        <w:widowControl w:val="0"/>
        <w:shd w:val="clear" w:color="auto" w:fill="auto"/>
        <w:tabs>
          <w:tab w:pos="4167" w:val="left"/>
        </w:tabs>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Sec Böttiger,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Teckning af </w:t>
      </w:r>
      <w:r>
        <w:rPr>
          <w:rFonts w:ascii="Times New Roman" w:eastAsia="Times New Roman" w:hAnsi="Times New Roman" w:cs="Times New Roman"/>
          <w:i/>
          <w:iCs/>
          <w:color w:val="000000"/>
          <w:spacing w:val="0"/>
          <w:w w:val="100"/>
          <w:position w:val="0"/>
          <w:shd w:val="clear" w:color="auto" w:fill="auto"/>
          <w:lang w:val="fr-FR" w:eastAsia="fr-FR" w:bidi="fr-FR"/>
        </w:rPr>
        <w:t>Tegnér</w:t>
      </w:r>
      <w:r>
        <w:rPr>
          <w:rFonts w:ascii="Times New Roman" w:eastAsia="Times New Roman" w:hAnsi="Times New Roman" w:cs="Times New Roman"/>
          <w:i/>
          <w:iCs/>
          <w:color w:val="000000"/>
          <w:spacing w:val="0"/>
          <w:w w:val="100"/>
          <w:position w:val="0"/>
          <w:shd w:val="clear" w:color="auto" w:fill="auto"/>
          <w:lang w:val="en-US" w:eastAsia="en-US" w:bidi="en-US"/>
        </w:rPr>
        <w:t>s Lefιιad∙,</w:t>
      </w:r>
      <w:r>
        <w:rPr>
          <w:rFonts w:ascii="Times New Roman" w:eastAsia="Times New Roman" w:hAnsi="Times New Roman" w:cs="Times New Roman"/>
          <w:color w:val="000000"/>
          <w:spacing w:val="0"/>
          <w:w w:val="100"/>
          <w:position w:val="0"/>
          <w:shd w:val="clear" w:color="auto" w:fill="auto"/>
          <w:lang w:val="en-US" w:eastAsia="en-US" w:bidi="en-US"/>
        </w:rPr>
        <w:t xml:space="preserve"> Georg Brandes,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Esaias </w:t>
      </w:r>
      <w:r>
        <w:rPr>
          <w:rFonts w:ascii="Times New Roman" w:eastAsia="Times New Roman" w:hAnsi="Times New Roman" w:cs="Times New Roman"/>
          <w:i/>
          <w:iCs/>
          <w:color w:val="000000"/>
          <w:spacing w:val="0"/>
          <w:w w:val="100"/>
          <w:position w:val="0"/>
          <w:shd w:val="clear" w:color="auto" w:fill="auto"/>
          <w:lang w:val="fr-FR" w:eastAsia="fr-FR" w:bidi="fr-FR"/>
        </w:rPr>
        <w:t>Tegnér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Thommander,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Tankar </w:t>
      </w:r>
      <w:r>
        <w:rPr>
          <w:rFonts w:ascii="Times New Roman" w:eastAsia="Times New Roman" w:hAnsi="Times New Roman" w:cs="Times New Roman"/>
          <w:i/>
          <w:iCs/>
          <w:color w:val="000000"/>
          <w:spacing w:val="0"/>
          <w:w w:val="100"/>
          <w:position w:val="0"/>
          <w:shd w:val="clear" w:color="auto" w:fill="auto"/>
          <w:lang w:val="de-DE" w:eastAsia="de-DE" w:bidi="de-DE"/>
        </w:rPr>
        <w:t xml:space="preserve">och </w:t>
      </w:r>
      <w:r>
        <w:rPr>
          <w:rFonts w:ascii="Times New Roman" w:eastAsia="Times New Roman" w:hAnsi="Times New Roman" w:cs="Times New Roman"/>
          <w:i/>
          <w:iCs/>
          <w:color w:val="000000"/>
          <w:spacing w:val="0"/>
          <w:w w:val="100"/>
          <w:position w:val="0"/>
          <w:shd w:val="clear" w:color="auto" w:fill="auto"/>
          <w:lang w:val="en-US" w:eastAsia="en-US" w:bidi="en-US"/>
        </w:rPr>
        <w:t>Löjen.</w:t>
      </w:r>
      <w:r>
        <w:rPr>
          <w:rFonts w:ascii="Times New Roman" w:eastAsia="Times New Roman" w:hAnsi="Times New Roman" w:cs="Times New Roman"/>
          <w:color w:val="000000"/>
          <w:spacing w:val="0"/>
          <w:w w:val="100"/>
          <w:position w:val="0"/>
          <w:shd w:val="clear" w:color="auto" w:fill="auto"/>
          <w:lang w:val="en-US" w:eastAsia="en-US" w:bidi="en-US"/>
        </w:rPr>
        <w:tab/>
        <w:t xml:space="preserve">(E. </w:t>
      </w:r>
      <w:r>
        <w:rPr>
          <w:rFonts w:ascii="Times New Roman" w:eastAsia="Times New Roman" w:hAnsi="Times New Roman" w:cs="Times New Roman"/>
          <w:color w:val="000000"/>
          <w:spacing w:val="0"/>
          <w:w w:val="100"/>
          <w:position w:val="0"/>
          <w:shd w:val="clear" w:color="auto" w:fill="auto"/>
          <w:lang w:val="fr-FR" w:eastAsia="fr-FR" w:bidi="fr-FR"/>
        </w:rPr>
        <w:t>G.)</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TEGUCIGALPA, </w:t>
      </w:r>
      <w:r>
        <w:rPr>
          <w:rFonts w:ascii="Times New Roman" w:eastAsia="Times New Roman" w:hAnsi="Times New Roman" w:cs="Times New Roman"/>
          <w:color w:val="000000"/>
          <w:spacing w:val="0"/>
          <w:w w:val="100"/>
          <w:position w:val="0"/>
          <w:shd w:val="clear" w:color="auto" w:fill="auto"/>
          <w:lang w:val="en-US" w:eastAsia="en-US" w:bidi="en-US"/>
        </w:rPr>
        <w:t>the capital of Honduras and of the depart</w:t>
        <w:softHyphen/>
        <w:t>ment of Tegucigalpa; situated 3200 ft. above sea-level, on the river Choluteca, and at the head of a railway to the port of San Lorenzo on Fonseca Bay. Pop. (1905) about 35,000. Teguci</w:t>
        <w:softHyphen/>
        <w:t>galpa is the largest and finest city in the republic. The majority of its houses are of one storey, built round a central court; the windows are usually unglazed but protected by iron bars which project into the narrow cobble-paved streets. The focus of civic life is near the central park, in which stands a bronze equestrian statue of Francisco Morazan (1792-1842), the Hondurian statesman and soldier. Fronting the park is a domed cathedral, one of the largest and most ornate churches in Honduras. Other noteworthy buildings are the government offices, university, school of industry and art, national printing works, and law courts. A lofty ten-arched bridge over the Choluteca connects the city with its principal suburb, Con</w:t>
        <w:softHyphen/>
        <w:t>cepcion or Comayaguela. Tegucigalpa became capital of Honduras, a status it had previously shared with Comayagua, in 1880. During the 18th century the neighbourhood was famous for its gold, silver and marble, but in modern times the mines and quarries have greatly declined in value, and farming is the chief local industry. In 1907 Tegucigalpa was occupied by the Nicaraguan invaders.</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TEGULA, </w:t>
      </w:r>
      <w:r>
        <w:rPr>
          <w:rFonts w:ascii="Times New Roman" w:eastAsia="Times New Roman" w:hAnsi="Times New Roman" w:cs="Times New Roman"/>
          <w:color w:val="000000"/>
          <w:spacing w:val="0"/>
          <w:w w:val="100"/>
          <w:position w:val="0"/>
          <w:shd w:val="clear" w:color="auto" w:fill="auto"/>
          <w:lang w:val="en-US" w:eastAsia="en-US" w:bidi="en-US"/>
        </w:rPr>
        <w:t xml:space="preserve">the Latin term for the convex covering tile of a roof, as distinguished from the </w:t>
      </w:r>
      <w:r>
        <w:rPr>
          <w:rFonts w:ascii="Times New Roman" w:eastAsia="Times New Roman" w:hAnsi="Times New Roman" w:cs="Times New Roman"/>
          <w:i/>
          <w:iCs/>
          <w:color w:val="000000"/>
          <w:spacing w:val="0"/>
          <w:w w:val="100"/>
          <w:position w:val="0"/>
          <w:shd w:val="clear" w:color="auto" w:fill="auto"/>
          <w:lang w:val="en-US" w:eastAsia="en-US" w:bidi="en-US"/>
        </w:rPr>
        <w:t>imbrex,</w:t>
      </w:r>
      <w:r>
        <w:rPr>
          <w:rFonts w:ascii="Times New Roman" w:eastAsia="Times New Roman" w:hAnsi="Times New Roman" w:cs="Times New Roman"/>
          <w:color w:val="000000"/>
          <w:spacing w:val="0"/>
          <w:w w:val="100"/>
          <w:position w:val="0"/>
          <w:shd w:val="clear" w:color="auto" w:fill="auto"/>
          <w:lang w:val="en-US" w:eastAsia="en-US" w:bidi="en-US"/>
        </w:rPr>
        <w:t xml:space="preserve"> the concave tile (see </w:t>
      </w:r>
      <w:r>
        <w:rPr>
          <w:rFonts w:ascii="Times New Roman" w:eastAsia="Times New Roman" w:hAnsi="Times New Roman" w:cs="Times New Roman"/>
          <w:smallCaps/>
          <w:color w:val="000000"/>
          <w:spacing w:val="0"/>
          <w:w w:val="100"/>
          <w:position w:val="0"/>
          <w:shd w:val="clear" w:color="auto" w:fill="auto"/>
          <w:lang w:val="en-US" w:eastAsia="en-US" w:bidi="en-US"/>
        </w:rPr>
        <w:t>Tiles).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TEHERAN </w:t>
      </w:r>
      <w:r>
        <w:rPr>
          <w:rFonts w:ascii="Times New Roman" w:eastAsia="Times New Roman" w:hAnsi="Times New Roman" w:cs="Times New Roman"/>
          <w:color w:val="000000"/>
          <w:spacing w:val="0"/>
          <w:w w:val="100"/>
          <w:position w:val="0"/>
          <w:shd w:val="clear" w:color="auto" w:fill="auto"/>
          <w:lang w:val="en-US" w:eastAsia="en-US" w:bidi="en-US"/>
        </w:rPr>
        <w:t xml:space="preserve">(more properly </w:t>
      </w:r>
      <w:r>
        <w:rPr>
          <w:rFonts w:ascii="Times New Roman" w:eastAsia="Times New Roman" w:hAnsi="Times New Roman" w:cs="Times New Roman"/>
          <w:smallCaps/>
          <w:color w:val="000000"/>
          <w:spacing w:val="0"/>
          <w:w w:val="100"/>
          <w:position w:val="0"/>
          <w:shd w:val="clear" w:color="auto" w:fill="auto"/>
          <w:lang w:val="en-US" w:eastAsia="en-US" w:bidi="en-US"/>
        </w:rPr>
        <w:t>Tehran),</w:t>
      </w:r>
      <w:r>
        <w:rPr>
          <w:rFonts w:ascii="Times New Roman" w:eastAsia="Times New Roman" w:hAnsi="Times New Roman" w:cs="Times New Roman"/>
          <w:color w:val="000000"/>
          <w:spacing w:val="0"/>
          <w:w w:val="100"/>
          <w:position w:val="0"/>
          <w:shd w:val="clear" w:color="auto" w:fill="auto"/>
          <w:lang w:val="en-US" w:eastAsia="en-US" w:bidi="en-US"/>
        </w:rPr>
        <w:t xml:space="preserve"> a province of Persia, with capital of the same name (which is also the capital of the Persian empire). It pays a yearly revenue of about £100,000, and comprises the districts of Saujbulagh, Shahriar, Feshaviyeh, Shimran, Kasran and Veramin. The first three, situated north-west, west and south of the city of Teheran, are very fertile, and supply the capital with grain, grapes and melons. Shimran, the district north of the city, and on the slopes of the Elburz (rising to an elevation of 12,600 ft.) has 63 villages (one, Tajrish, the seat of the governor, with a population of over 3000), which are much frequented during the summer months by the inhabitants of the city seeking relief from the great heat. One of the villages, Gulhek or Gulahek, but correctly Kulhck (with a guttural K, and meaning a small, reedy mere), situated 800 ft. above the city of Teheran and 6</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from it, was given in fief to the British government by Fath Ali Shah about 1830 for the summer quarters of the British legation. Zergendeh, a village adjoining Gulhek, is held in a similar manner by the Russian government, and the Russian legation stays there during the summer. Kasran is a hilly district north-east of Teheran, with numerous coal mines (inferior coal of the Jurassic period) and streams abounding with salmon trout. The Veramin district, south-east of Teheran city, has 123 villages, and sup</w:t>
        <w:softHyphen/>
        <w:t>plies the city and surrounding districts with wheat, barley and rice. It is watered by the Jajrud river, and is considered one of the most fertile districts of Persia.</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TEHERAN, </w:t>
      </w:r>
      <w:r>
        <w:rPr>
          <w:rFonts w:ascii="Times New Roman" w:eastAsia="Times New Roman" w:hAnsi="Times New Roman" w:cs="Times New Roman"/>
          <w:color w:val="000000"/>
          <w:spacing w:val="0"/>
          <w:w w:val="100"/>
          <w:position w:val="0"/>
          <w:shd w:val="clear" w:color="auto" w:fill="auto"/>
          <w:lang w:val="en-US" w:eastAsia="en-US" w:bidi="en-US"/>
        </w:rPr>
        <w:t>the capital of Persia and of the province of the same name, 70 m. S. of the southern shore of the Caspian Sea. It is situated on an immense gravel deposit which slopes down from the foot of the Elburz mountain (rising to an alti</w:t>
        <w:softHyphen/>
        <w:t xml:space="preserve">tude of 12,600 ft.) 8 or 9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N. of the city, and extends for 16 m. to near Shah-abdul-Azim, 5</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S. of it. Teheran was formerly a kind of polygon about 4 m. in circumference, with a mud wall and towers, a dry ditch and six gates, but in 1869 Nasr-ud-din Shah decided upon enlarging the city; the old wall and towers were demolished, the ditch was filled up and used for building sites, and an enceinte consisting of a ditch and 58 unequal bastions according to Vauban’s first system was constructed and completed in 1874. The city then took the shape of an irregular octagon, and its circumference (a line through the salient angles of the bastions) measures 19,596 metres, or 12∙18 m. The area within the bastions is about </w:t>
      </w:r>
      <w:r>
        <w:rPr>
          <w:rFonts w:ascii="Times New Roman" w:eastAsia="Times New Roman" w:hAnsi="Times New Roman" w:cs="Times New Roman"/>
          <w:color w:val="000000"/>
          <w:spacing w:val="0"/>
          <w:w w:val="100"/>
          <w:position w:val="0"/>
          <w:shd w:val="clear" w:color="auto" w:fill="auto"/>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sq. m. There are twelve gates, which are closed from two hours after sunset to an hour before sunrise. According to observations taken in 1895 by British officers in connexion with determining the longitude of Madras, the longitude of Teheran (pillar at the north-western corner of the British legation grounds) is 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25' 2∙8" E. The latitude of the old telegraph office, which was situated almost due S., is 35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41' 6∙83" N., and its elevation 3810 ft. The northern gates of the city are 282 ft. above the southern ones. Teheran has little to distinguish it in general outward appearance from other cities of the country, though in recent years (since the above-mentioned extension) many broad and straight streets and a number of buildings of western architecture, shops with show windows, electric lamps, cabs, &amp;c., have been introduced. “ We are in a city which was born and nurtured in the East, but is beginning to clothe itself at a West-End tailor’s ” (Curzon). Most of the innovations are to be seen only in the northern part of the town where the Europeans and many well-to-do natives reside. The ark or citadel, situated nearly in the centre of the town, contains the shah</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palace and a number of modern buildings of respectable appearance, for instance the foreign office, the war office, customs, telegraph station, arsenal, &amp;c. Immediately north of the ark are the Maidan Tupkhaneh (Artillery Square), 270 yds. by 120, and the great Maidan i Mashk (Maidan of drill), the military parade ground, 550 yds. by 350. South of the ark arc the bazaars, the central arcade and caravanserai built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1850 by the prime minister Mirza Taki Khan, commonly known as the amir, and beyond them, as well as on the east and west, are the quarters of the old town, with narrow, crooked and mostly unpaved and unclean streets. Teheran has 6</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of tramways (single lines) and is connected with Shah-abdul-Azim by a single line of railway of one-metre gauge and 5</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long (the only railway in Persia). Water is freely supplied to the town by means of about thirty underground canals </w:t>
      </w:r>
      <w:r>
        <w:rPr>
          <w:rFonts w:ascii="Times New Roman" w:eastAsia="Times New Roman" w:hAnsi="Times New Roman" w:cs="Times New Roman"/>
          <w:i/>
          <w:iCs/>
          <w:color w:val="000000"/>
          <w:spacing w:val="0"/>
          <w:w w:val="100"/>
          <w:position w:val="0"/>
          <w:shd w:val="clear" w:color="auto" w:fill="auto"/>
          <w:lang w:val="en-US" w:eastAsia="en-US" w:bidi="en-US"/>
        </w:rPr>
        <w:t>(kanats),</w:t>
      </w:r>
      <w:r>
        <w:rPr>
          <w:rFonts w:ascii="Times New Roman" w:eastAsia="Times New Roman" w:hAnsi="Times New Roman" w:cs="Times New Roman"/>
          <w:color w:val="000000"/>
          <w:spacing w:val="0"/>
          <w:w w:val="100"/>
          <w:position w:val="0"/>
          <w:shd w:val="clear" w:color="auto" w:fill="auto"/>
          <w:lang w:val="en-US" w:eastAsia="en-US" w:bidi="en-US"/>
        </w:rPr>
        <w:t xml:space="preserve"> led from the slope of the northern hills and running 5 to 10 m. at considerable depths below the surface. The water supply would be ample for the requirements of the population if it could be regularly and equally distributed; but the supply in the months of October and November is only about one-half of that during March, and much water is lost through open ditches and by leakage. The distribution therefore is irregular: in winter and early spring, when the gardens require very little water from the canals, the supply is too great, and in summer it is too little. It has been calculated that the mean water supply amounts to the enormous quantity of 921,000 gallons per hour all the year round, but that, after deducting the quantity wasted in distribution, irrigation of gardens, filling tanks and baths, watering streets, &amp;c., there remain forty-two gallons per head daily during the month of April, seventeen during July, August and September, and ten during October and November. Even the. last quantity would suffice if evenly distributed, but as most of the canals are private property and independent of government or municipal control, the distribution is unequal, and it frequently happens that when some parts of the city have water in abundance others have hardly any. Teheran has many’ mosques, all of recent date, the finest being the one called Masjed i Sipahsalar, built by Mirza Husain Khan Sipah- salar Azam, who was prime minister for ten years until 1884. It is situated in the new part of the city and adjoining it is the Baharistan palace, once the residence of Sipahsalar, after</w:t>
        <w:softHyphen/>
        <w:t xml:space="preserve">wards occupied by the national assembly. Another notable mosque is the Masjed i Shah, completed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1840. There are also many colleges and schools, some of them with European teachers, including the “ German School ” (1907) with a yearly subsidy of £2200 from the shah. Before Nasr-ud-din’s first voyage to Europe in 1873 only four western states had legations and consulates at Teheran; now twelve states are represented.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present population of Teheran is about 280,000, including 600 Europeans, 4000 Jews, the same number of Armenians, 200 Zoroastrians, and a garrison of 3000 to 4000. The climate is considered unhealthy, particularly' in the summer and early</w:t>
      </w:r>
    </w:p>
    <w:sectPr>
      <w:footnotePr>
        <w:pos w:val="pageBottom"/>
        <w:numFmt w:val="decimal"/>
        <w:numRestart w:val="continuous"/>
      </w:footnotePr>
      <w:pgSz w:w="12240" w:h="15840"/>
      <w:pgMar w:top="948" w:left="897" w:right="913" w:bottom="5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