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popular belief in witchcraft and personal intercourse with the devil, sanctioned the expedient of wringing confessions of such intercourse from the accused by unspeakable tortures, and so made possible the hideous witch-persecutions which darkened the later middle ages and, even in Protestant countries, long survived the Reformation. “ If I were to name a day in the whole history of the world,” said </w:t>
      </w:r>
      <w:r>
        <w:rPr>
          <w:rFonts w:ascii="Times New Roman" w:eastAsia="Times New Roman" w:hAnsi="Times New Roman" w:cs="Times New Roman"/>
          <w:color w:val="000000"/>
          <w:spacing w:val="0"/>
          <w:w w:val="100"/>
          <w:position w:val="0"/>
          <w:shd w:val="clear" w:color="auto" w:fill="auto"/>
          <w:lang w:val="de-DE" w:eastAsia="de-DE" w:bidi="de-DE"/>
        </w:rPr>
        <w:t xml:space="preserve">Döllinger </w:t>
      </w:r>
      <w:r>
        <w:rPr>
          <w:rFonts w:ascii="Times New Roman" w:eastAsia="Times New Roman" w:hAnsi="Times New Roman" w:cs="Times New Roman"/>
          <w:color w:val="000000"/>
          <w:spacing w:val="0"/>
          <w:w w:val="100"/>
          <w:position w:val="0"/>
          <w:shd w:val="clear" w:color="auto" w:fill="auto"/>
          <w:lang w:val="en-US" w:eastAsia="en-US" w:bidi="en-US"/>
        </w:rPr>
        <w:t xml:space="preserve">at the conclusion of his last public lecture, “ which appears to me in the truest sense as a </w:t>
      </w:r>
      <w:r>
        <w:rPr>
          <w:rFonts w:ascii="Times New Roman" w:eastAsia="Times New Roman" w:hAnsi="Times New Roman" w:cs="Times New Roman"/>
          <w:i/>
          <w:iCs/>
          <w:color w:val="000000"/>
          <w:spacing w:val="0"/>
          <w:w w:val="100"/>
          <w:position w:val="0"/>
          <w:shd w:val="clear" w:color="auto" w:fill="auto"/>
          <w:lang w:val="en-US" w:eastAsia="en-US" w:bidi="en-US"/>
        </w:rPr>
        <w:t>dies nefastus,</w:t>
      </w:r>
      <w:r>
        <w:rPr>
          <w:rFonts w:ascii="Times New Roman" w:eastAsia="Times New Roman" w:hAnsi="Times New Roman" w:cs="Times New Roman"/>
          <w:color w:val="000000"/>
          <w:spacing w:val="0"/>
          <w:w w:val="100"/>
          <w:position w:val="0"/>
          <w:shd w:val="clear" w:color="auto" w:fill="auto"/>
          <w:lang w:val="en-US" w:eastAsia="en-US" w:bidi="en-US"/>
        </w:rPr>
        <w:t xml:space="preserve"> I should be able to name no other than the 13th of October 1307.”@@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—A great mass of original sources has now been published. Those given by Du Puy, though often valuable, were selected and edited with a purpose, as Jeune pointed out. A new departure was made with the publication of Michelet’s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Procès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hd w:val="clear" w:color="auto" w:fill="auto"/>
          <w:lang w:val="fr-FR" w:eastAsia="fr-FR" w:bidi="fr-FR"/>
        </w:rPr>
        <w:t>Templiers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 i. 1851, t. ii. 1861), an edition of the original minutes of the trial preserved at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 xml:space="preserve">(it is specially interesting as the earliest complete and detailed record of a criminal trial in existence). This is elaborately analysed and the results tabulated in vol. ii. of Gmelin. Of documents published in other works the most important collections are those in </w:t>
      </w:r>
      <w:r>
        <w:rPr>
          <w:rFonts w:ascii="Times New Roman" w:eastAsia="Times New Roman" w:hAnsi="Times New Roman" w:cs="Times New Roman"/>
          <w:color w:val="000000"/>
          <w:spacing w:val="0"/>
          <w:w w:val="100"/>
          <w:position w:val="0"/>
          <w:shd w:val="clear" w:color="auto" w:fill="auto"/>
          <w:lang w:val="de-DE" w:eastAsia="de-DE" w:bidi="de-DE"/>
        </w:rPr>
        <w:t xml:space="preserve">Schottmüller </w:t>
      </w:r>
      <w:r>
        <w:rPr>
          <w:rFonts w:ascii="Times New Roman" w:eastAsia="Times New Roman" w:hAnsi="Times New Roman" w:cs="Times New Roman"/>
          <w:color w:val="000000"/>
          <w:spacing w:val="0"/>
          <w:w w:val="100"/>
          <w:position w:val="0"/>
          <w:shd w:val="clear" w:color="auto" w:fill="auto"/>
          <w:lang w:val="en-US" w:eastAsia="en-US" w:bidi="en-US"/>
        </w:rPr>
        <w:t>(mainly from the Vatican Archives) and Finke (Aragonese Archives). The Rule of the Temple has been several times published; the most accessible edition, giving the various Rules with critical com</w:t>
        <w:softHyphen/>
        <w:t xml:space="preserve">mentary, is that of H. de Curzon,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Règle </w:t>
      </w:r>
      <w:r>
        <w:rPr>
          <w:rFonts w:ascii="Times New Roman" w:eastAsia="Times New Roman" w:hAnsi="Times New Roman" w:cs="Times New Roman"/>
          <w:i/>
          <w:iCs/>
          <w:color w:val="000000"/>
          <w:spacing w:val="0"/>
          <w:w w:val="100"/>
          <w:position w:val="0"/>
          <w:shd w:val="clear" w:color="auto" w:fill="auto"/>
          <w:lang w:val="en-US" w:eastAsia="en-US" w:bidi="en-US"/>
        </w:rPr>
        <w:t>du Temple</w:t>
      </w:r>
      <w:r>
        <w:rPr>
          <w:rFonts w:ascii="Times New Roman" w:eastAsia="Times New Roman" w:hAnsi="Times New Roman" w:cs="Times New Roman"/>
          <w:color w:val="000000"/>
          <w:spacing w:val="0"/>
          <w:w w:val="100"/>
          <w:position w:val="0"/>
          <w:shd w:val="clear" w:color="auto" w:fill="auto"/>
          <w:lang w:val="en-US" w:eastAsia="en-US" w:bidi="en-US"/>
        </w:rPr>
        <w:t xml:space="preserve"> (Paris, 1886); see also </w:t>
      </w:r>
      <w:r>
        <w:rPr>
          <w:rFonts w:ascii="Times New Roman" w:eastAsia="Times New Roman" w:hAnsi="Times New Roman" w:cs="Times New Roman"/>
          <w:color w:val="000000"/>
          <w:spacing w:val="0"/>
          <w:w w:val="100"/>
          <w:position w:val="0"/>
          <w:shd w:val="clear" w:color="auto" w:fill="auto"/>
          <w:lang w:val="fr-FR" w:eastAsia="fr-FR" w:bidi="fr-FR"/>
        </w:rPr>
        <w:t xml:space="preserve">Maillard de </w:t>
      </w:r>
      <w:r>
        <w:rPr>
          <w:rFonts w:ascii="Times New Roman" w:eastAsia="Times New Roman" w:hAnsi="Times New Roman" w:cs="Times New Roman"/>
          <w:color w:val="000000"/>
          <w:spacing w:val="0"/>
          <w:w w:val="100"/>
          <w:position w:val="0"/>
          <w:shd w:val="clear" w:color="auto" w:fill="auto"/>
          <w:lang w:val="en-US" w:eastAsia="en-US" w:bidi="en-US"/>
        </w:rPr>
        <w:t xml:space="preserve">Chambure,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Règle et statuts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secrets </w:t>
      </w:r>
      <w:r>
        <w:rPr>
          <w:rFonts w:ascii="Times New Roman" w:eastAsia="Times New Roman" w:hAnsi="Times New Roman" w:cs="Times New Roman"/>
          <w:i/>
          <w:iCs/>
          <w:color w:val="000000"/>
          <w:spacing w:val="0"/>
          <w:w w:val="100"/>
          <w:position w:val="0"/>
          <w:shd w:val="clear" w:color="auto" w:fill="auto"/>
          <w:lang w:val="fr-FR" w:eastAsia="fr-FR" w:bidi="fr-FR"/>
        </w:rPr>
        <w:t>des Templiers, prie. de l’hist. de cette, ordre</w:t>
      </w:r>
      <w:r>
        <w:rPr>
          <w:rFonts w:ascii="Times New Roman" w:eastAsia="Times New Roman" w:hAnsi="Times New Roman" w:cs="Times New Roman"/>
          <w:color w:val="000000"/>
          <w:spacing w:val="0"/>
          <w:w w:val="100"/>
          <w:position w:val="0"/>
          <w:shd w:val="clear" w:color="auto" w:fill="auto"/>
          <w:lang w:val="fr-FR" w:eastAsia="fr-FR" w:bidi="fr-FR"/>
        </w:rPr>
        <w:t xml:space="preserve"> (Dijon—Paris, </w:t>
      </w:r>
      <w:r>
        <w:rPr>
          <w:rFonts w:ascii="Times New Roman" w:eastAsia="Times New Roman" w:hAnsi="Times New Roman" w:cs="Times New Roman"/>
          <w:color w:val="000000"/>
          <w:spacing w:val="0"/>
          <w:w w:val="100"/>
          <w:position w:val="0"/>
          <w:shd w:val="clear" w:color="auto" w:fill="auto"/>
          <w:lang w:val="en-US" w:eastAsia="en-US" w:bidi="en-US"/>
        </w:rPr>
        <w:t>1840).</w:t>
      </w:r>
    </w:p>
    <w:p>
      <w:pPr>
        <w:pStyle w:val="Style6"/>
        <w:keepNext w:val="0"/>
        <w:keepLines w:val="0"/>
        <w:widowControl w:val="0"/>
        <w:shd w:val="clear" w:color="auto" w:fill="auto"/>
        <w:tabs>
          <w:tab w:pos="3958"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comprehensive bibliography of works is given by </w:t>
      </w:r>
      <w:r>
        <w:rPr>
          <w:rFonts w:ascii="Times New Roman" w:eastAsia="Times New Roman" w:hAnsi="Times New Roman" w:cs="Times New Roman"/>
          <w:color w:val="000000"/>
          <w:spacing w:val="0"/>
          <w:w w:val="100"/>
          <w:position w:val="0"/>
          <w:shd w:val="clear" w:color="auto" w:fill="auto"/>
          <w:lang w:val="fr-FR" w:eastAsia="fr-FR" w:bidi="fr-FR"/>
        </w:rPr>
        <w:t xml:space="preserve">Ulysse </w:t>
      </w:r>
      <w:r>
        <w:rPr>
          <w:rFonts w:ascii="Times New Roman" w:eastAsia="Times New Roman" w:hAnsi="Times New Roman" w:cs="Times New Roman"/>
          <w:color w:val="000000"/>
          <w:spacing w:val="0"/>
          <w:w w:val="100"/>
          <w:position w:val="0"/>
          <w:shd w:val="clear" w:color="auto" w:fill="auto"/>
          <w:lang w:val="en-US" w:eastAsia="en-US" w:bidi="en-US"/>
        </w:rPr>
        <w:t xml:space="preserve">Chevalier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Répertoire </w:t>
      </w:r>
      <w:r>
        <w:rPr>
          <w:rFonts w:ascii="Times New Roman" w:eastAsia="Times New Roman" w:hAnsi="Times New Roman" w:cs="Times New Roman"/>
          <w:i/>
          <w:iCs/>
          <w:color w:val="000000"/>
          <w:spacing w:val="0"/>
          <w:w w:val="100"/>
          <w:position w:val="0"/>
          <w:shd w:val="clear" w:color="auto" w:fill="auto"/>
          <w:lang w:val="en-US" w:eastAsia="en-US" w:bidi="en-US"/>
        </w:rPr>
        <w:t>des sources hist. Topo-bihlio-graphie,</w:t>
      </w:r>
      <w:r>
        <w:rPr>
          <w:rFonts w:ascii="Times New Roman" w:eastAsia="Times New Roman" w:hAnsi="Times New Roman" w:cs="Times New Roman"/>
          <w:color w:val="000000"/>
          <w:spacing w:val="0"/>
          <w:w w:val="100"/>
          <w:position w:val="0"/>
          <w:shd w:val="clear" w:color="auto" w:fill="auto"/>
          <w:lang w:val="en-US" w:eastAsia="en-US" w:bidi="en-US"/>
        </w:rPr>
        <w:t xml:space="preserve"> s.v. “ </w:t>
      </w:r>
      <w:r>
        <w:rPr>
          <w:rFonts w:ascii="Times New Roman" w:eastAsia="Times New Roman" w:hAnsi="Times New Roman" w:cs="Times New Roman"/>
          <w:color w:val="000000"/>
          <w:spacing w:val="0"/>
          <w:w w:val="100"/>
          <w:position w:val="0"/>
          <w:shd w:val="clear" w:color="auto" w:fill="auto"/>
          <w:lang w:val="fr-FR" w:eastAsia="fr-FR" w:bidi="fr-FR"/>
        </w:rPr>
        <w:t xml:space="preserve">Templiers.”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works not fully indicated in the text must be mentioned Μ. Lavocat,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Procès des frères et de l'ordre du Temple </w:t>
      </w:r>
      <w:r>
        <w:rPr>
          <w:rFonts w:ascii="Times New Roman" w:eastAsia="Times New Roman" w:hAnsi="Times New Roman" w:cs="Times New Roman"/>
          <w:color w:val="000000"/>
          <w:spacing w:val="0"/>
          <w:w w:val="100"/>
          <w:position w:val="0"/>
          <w:shd w:val="clear" w:color="auto" w:fill="auto"/>
          <w:lang w:val="fr-FR" w:eastAsia="fr-FR" w:bidi="fr-FR"/>
        </w:rPr>
        <w:t xml:space="preserve">(Paris, 1888); G. Schnürer, </w:t>
      </w:r>
      <w:r>
        <w:rPr>
          <w:rFonts w:ascii="Times New Roman" w:eastAsia="Times New Roman" w:hAnsi="Times New Roman" w:cs="Times New Roman"/>
          <w:i/>
          <w:iCs/>
          <w:color w:val="000000"/>
          <w:spacing w:val="0"/>
          <w:w w:val="100"/>
          <w:position w:val="0"/>
          <w:shd w:val="clear" w:color="auto" w:fill="auto"/>
          <w:lang w:val="de-DE" w:eastAsia="de-DE" w:bidi="de-DE"/>
        </w:rPr>
        <w:t>Die ursprüngliche Templerregel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(1903); H. </w:t>
      </w:r>
      <w:r>
        <w:rPr>
          <w:rFonts w:ascii="Times New Roman" w:eastAsia="Times New Roman" w:hAnsi="Times New Roman" w:cs="Times New Roman"/>
          <w:color w:val="000000"/>
          <w:spacing w:val="0"/>
          <w:w w:val="100"/>
          <w:position w:val="0"/>
          <w:shd w:val="clear" w:color="auto" w:fill="auto"/>
          <w:lang w:val="de-DE" w:eastAsia="de-DE" w:bidi="de-DE"/>
        </w:rPr>
        <w:t xml:space="preserve">Finke, </w:t>
      </w:r>
      <w:r>
        <w:rPr>
          <w:rFonts w:ascii="Times New Roman" w:eastAsia="Times New Roman" w:hAnsi="Times New Roman" w:cs="Times New Roman"/>
          <w:i/>
          <w:iCs/>
          <w:color w:val="000000"/>
          <w:spacing w:val="0"/>
          <w:w w:val="100"/>
          <w:position w:val="0"/>
          <w:shd w:val="clear" w:color="auto" w:fill="auto"/>
          <w:lang w:val="de-DE" w:eastAsia="de-DE" w:bidi="de-DE"/>
        </w:rPr>
        <w:t>Papsttum und Untergang des Templerordens</w:t>
      </w:r>
      <w:r>
        <w:rPr>
          <w:rFonts w:ascii="Times New Roman" w:eastAsia="Times New Roman" w:hAnsi="Times New Roman" w:cs="Times New Roman"/>
          <w:color w:val="000000"/>
          <w:spacing w:val="0"/>
          <w:w w:val="100"/>
          <w:position w:val="0"/>
          <w:shd w:val="clear" w:color="auto" w:fill="auto"/>
          <w:lang w:val="de-DE" w:eastAsia="de-DE" w:bidi="de-DE"/>
        </w:rPr>
        <w:t xml:space="preserve"> (Münster,-i.- W., 1907); C. G. Addison, </w:t>
      </w:r>
      <w:r>
        <w:rPr>
          <w:rFonts w:ascii="Times New Roman" w:eastAsia="Times New Roman" w:hAnsi="Times New Roman" w:cs="Times New Roman"/>
          <w:i/>
          <w:iCs/>
          <w:color w:val="000000"/>
          <w:spacing w:val="0"/>
          <w:w w:val="100"/>
          <w:position w:val="0"/>
          <w:shd w:val="clear" w:color="auto" w:fill="auto"/>
          <w:lang w:val="en-US" w:eastAsia="en-US" w:bidi="en-US"/>
        </w:rPr>
        <w:t>The Knights Templars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1854), which contains a valuable account of the suppression of the order in England. For the order and its suppression in Ireland see Herbert Wood, “ The Templars in Ireland," in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Royal Irish Academy,</w:t>
      </w:r>
      <w:r>
        <w:rPr>
          <w:rFonts w:ascii="Times New Roman" w:eastAsia="Times New Roman" w:hAnsi="Times New Roman" w:cs="Times New Roman"/>
          <w:color w:val="000000"/>
          <w:spacing w:val="0"/>
          <w:w w:val="100"/>
          <w:position w:val="0"/>
          <w:shd w:val="clear" w:color="auto" w:fill="auto"/>
          <w:lang w:val="en-US" w:eastAsia="en-US" w:bidi="en-US"/>
        </w:rPr>
        <w:t xml:space="preserve"> vol. xxvi. Section c. p. 327 (Dublin, 1906-1907).</w:t>
        <w:tab/>
        <w:t>(W. A. P.)</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FREDERICK </w:t>
      </w:r>
      <w:r>
        <w:rPr>
          <w:rFonts w:ascii="Times New Roman" w:eastAsia="Times New Roman" w:hAnsi="Times New Roman" w:cs="Times New Roman"/>
          <w:color w:val="000000"/>
          <w:spacing w:val="0"/>
          <w:w w:val="100"/>
          <w:position w:val="0"/>
          <w:shd w:val="clear" w:color="auto" w:fill="auto"/>
          <w:lang w:val="en-US" w:eastAsia="en-US" w:bidi="en-US"/>
        </w:rPr>
        <w:t>(1821-1902), English divine, arch</w:t>
        <w:softHyphen/>
        <w:t>bishop of Canterbury, was born in Santa Maura, one of the Ionian Islands, being the son of Major Octavius Temple, who was subsequently appointed lieutenant-governor of Sierra Leone. On his retirement he settled in Devonshire as a small landowner, and contemplated a farming life for his son Frederick, giving him a practical training to that end. But the boy was sent to Blundell’s School, Tiverton, and soon ex</w:t>
        <w:softHyphen/>
        <w:t>hibited abilities which marked him out for a different career. He retained through life a warm affection for the school, where he did well both in the classes and the games, and was famous as a walker. His father’s means were narrow, and the boy knew that he must win his own way in life. He took the first important step in that way by winning a scholarship at Balliol College, Oxford, before he was quite seventeen years old. The “ Tractarian Movement ” had set in five years earlier, but the memorable tract, No. 90, had not yet been written, and Temple entered a university which was vibrating with intellectual and religious excitement. After much discussion and reflection he drew closer to the camp of “ the Oxford Liberal Movement.” In r842 he took a “ double-first ” and was elected fellow of Balliol, and lecturer in mathematics and logic. Four years later he took orders, and with the aim of helping forward the education of the very poor, he accepted the headship of Kneller Hall, a college which the government formed for the training of masters of workhouse and penal schools. But the experiment was not altogether successful, and Temple himself advised its abandonment in 1855. He then accepted a school-inspector- ship, which he held until he went to Rugby in 1858. In the meantime he had attracted the admiration of the prince consort, and in 1856 he was appointed chaplain-in-ordinary to the queen. In 1857 he was select preacher at his university.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Rugby Dr Arnold had died in 1842 and had been succeeded by Dr Tait, who again was followed by Dr Goulburn. Upon the resignation of the latter the trustees appointed Temple, who in that year (1858) had taken the degrees of B.D. and D.D. His life at Rugby was marked by great energy and bold initiative.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Whilst making the school a strong one on the classical side, he instituted scholarships in natural science, built a laboratory, and gave importance to that side of the school work. He had the courage also to reform the games, in spite of all the traditions of the playing fields.' His own tremendous powers of work and his rugged manner somewhat alarmed his boys at first, but his popularity was soon undisputed, and he brought up the school to a very high level. His school sermons were deeply impressive: they rooted religion in the loyalties of the heart and the conscience, and taught that faith might dwell secure amid all the bewilderments of the intellect, if only the life remained rooted in pure affections and a loyalty to the sense of duty. It was two years after he had taken up his work at Rugby that the volume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Essays and Reviews </w:t>
      </w:r>
      <w:r>
        <w:rPr>
          <w:rFonts w:ascii="Times New Roman" w:eastAsia="Times New Roman" w:hAnsi="Times New Roman" w:cs="Times New Roman"/>
          <w:color w:val="000000"/>
          <w:spacing w:val="0"/>
          <w:w w:val="100"/>
          <w:position w:val="0"/>
          <w:shd w:val="clear" w:color="auto" w:fill="auto"/>
          <w:lang w:val="en-US" w:eastAsia="en-US" w:bidi="en-US"/>
        </w:rPr>
        <w:t>gave rise to an extraordinary storm. The first essay in the book, “ The Education of the World,” was by Dr Temple. It was declared in a prefatory note to the volume that the authors were responsible only for their respective articles, but some of these were deemed so destructive that many people banned the whole book, and a noisy demand, led by Samuel Wilberforce, then bishop of Oxford, called on the headmaster of Rugby to dissociate himself from his comrades. Temple’s essay had treated of the intellectual and spiritual growth of the race, and had pointed out the contributions made respectively by the Hebrews, the Egyptians, the Greeks, the Romans, and others. It was generally declared by the critics of the volume to be in itself harmless, but was blamed as being found in bad company. Temple refused, so long as the storm lasted, to comply with the request that he would repudiate his associates, and it was only at a much later date (1870) that he saw fit quietly to withdraw his essay. In the meantime, however, he printed a volume of his Rugby sermons, to show definitely what his own religious positions were.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politics Temple was a follower of Mr Gladstone, and he approved of the disestablishment of the Irish Church. He also wrote and spoke in favour of Mr Forster’s Education Act, and was an active member of the Endowed Schools Commission. In 1869 Mr Gladstone offered him the deanery of Durham, but this he declined on the ground of his strong interest in Rugby. When later in the same year, however, Henry Phillpotts, bishop of Exeter, died, the prime minister turned again to Temple, and he accepted the bishopric of that city so dear to him from boy</w:t>
        <w:softHyphen/>
        <w:t>hood, and left Rugby for a home amongst his own people. The appointment, however, raised a fresh storm.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 A. Denison, archdeacon of Taunton, Lord Shaftesbury, and others formed a strong committee of protest, whilst Pusey declared that “ the choice was the most frightful enormity ever perpetrated by a prime minister.” At the confirmation of his election counsel was instructed to object to it, and in the voting the chapter was divided. But Gladstone stood firm, and Temple was duly consecrated on the 21st of December 1869. There were at first murmurings among his clergy against what they deemed his harsh control, but his real kindness soon made itself felt, and, during the sixteen years of his tenure of the see, his sound and vigorous rule dissipated the prejudices against him, so that when, on the death of Dr John Jackson in r885, he was translated to London, the appointment gave general satis</w:t>
        <w:softHyphen/>
        <w:t>faction. In 1884 he was Bampton Lecturer, taking for his subject “ The Relations between Religion and Science.” In 1885 he was elected honorary fellow of Exeter College, Oxford.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Temple’s tenancy of the bishopric of London was marked, if possible, by more strenuous labours than ever. His normal working day at this time was one of fourteen or fifteen hours, and he refused to spare himself one hour of toil, though under the strain blindness was rapidly coming on. He was still felt by many of his clergy and by candidates for ordination to be a rather terrifying person, and to enforce almost impossible standards of diligence, accuracy and preaching efficiency, but his manifest devotion to his work and his zeal for the good of the people rooted him deeply in the general confidence. In London he was not less conspicuous as a temperance worker than he had been in Exeter, and the artisan classes instinctively</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Döllinger, </w:t>
      </w:r>
      <w:r>
        <w:rPr>
          <w:rFonts w:ascii="Times New Roman" w:eastAsia="Times New Roman" w:hAnsi="Times New Roman" w:cs="Times New Roman"/>
          <w:i/>
          <w:iCs/>
          <w:color w:val="000000"/>
          <w:spacing w:val="0"/>
          <w:w w:val="100"/>
          <w:position w:val="0"/>
          <w:shd w:val="clear" w:color="auto" w:fill="auto"/>
          <w:lang w:val="de-DE" w:eastAsia="de-DE" w:bidi="de-DE"/>
        </w:rPr>
        <w:t>Akademische Vorträge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(Munich, 1891), </w:t>
      </w: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Der Unter</w:t>
        <w:softHyphen/>
        <w:t>gang des Templerordens.”</w:t>
      </w:r>
    </w:p>
    <w:p>
      <w:pPr>
        <w:widowControl w:val="0"/>
        <w:spacing w:line="1" w:lineRule="exact"/>
      </w:pPr>
    </w:p>
    <w:sectPr>
      <w:footnotePr>
        <w:pos w:val="pageBottom"/>
        <w:numFmt w:val="decimal"/>
        <w:numRestart w:val="continuous"/>
      </w:footnotePr>
      <w:type w:val="continuous"/>
      <w:pgSz w:w="12240" w:h="15840"/>
      <w:pgMar w:top="1224" w:left="927" w:right="1206" w:bottom="8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