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Chattanooga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Paducah amounted to 755,010 tons, </w:t>
      </w:r>
      <w:r>
        <w:rPr>
          <w:rFonts w:ascii="Times New Roman" w:eastAsia="Times New Roman" w:hAnsi="Times New Roman" w:cs="Times New Roman"/>
          <w:color w:val="000000"/>
          <w:spacing w:val="0"/>
          <w:w w:val="100"/>
          <w:position w:val="0"/>
          <w:shd w:val="clear" w:color="auto" w:fill="auto"/>
          <w:lang w:val="en-US" w:eastAsia="en-US" w:bidi="en-US"/>
        </w:rPr>
        <w:t xml:space="preserve">valued </w:t>
      </w:r>
      <w:r>
        <w:rPr>
          <w:rFonts w:ascii="Times New Roman" w:eastAsia="Times New Roman" w:hAnsi="Times New Roman" w:cs="Times New Roman"/>
          <w:color w:val="000000"/>
          <w:spacing w:val="0"/>
          <w:w w:val="100"/>
          <w:position w:val="0"/>
          <w:shd w:val="clear" w:color="auto" w:fill="auto"/>
          <w:lang w:val="en-US" w:eastAsia="en-US" w:bidi="en-US"/>
        </w:rPr>
        <w:t xml:space="preserve">at $18,752,180; it consisted chiefly of general merchandise, farm products, forest products and iron ore in the </w:t>
      </w:r>
      <w:r>
        <w:rPr>
          <w:rFonts w:ascii="Times New Roman" w:eastAsia="Times New Roman" w:hAnsi="Times New Roman" w:cs="Times New Roman"/>
          <w:color w:val="000000"/>
          <w:spacing w:val="0"/>
          <w:w w:val="100"/>
          <w:position w:val="0"/>
          <w:shd w:val="clear" w:color="auto" w:fill="auto"/>
          <w:lang w:val="en-US" w:eastAsia="en-US" w:bidi="en-US"/>
        </w:rPr>
        <w:t xml:space="preserve">upper </w:t>
      </w:r>
      <w:r>
        <w:rPr>
          <w:rFonts w:ascii="Times New Roman" w:eastAsia="Times New Roman" w:hAnsi="Times New Roman" w:cs="Times New Roman"/>
          <w:color w:val="000000"/>
          <w:spacing w:val="0"/>
          <w:w w:val="100"/>
          <w:position w:val="0"/>
          <w:shd w:val="clear" w:color="auto" w:fill="auto"/>
          <w:lang w:val="en-US" w:eastAsia="en-US" w:bidi="en-US"/>
        </w:rPr>
        <w:t xml:space="preserve">section,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general merchandise, cotton, timber </w:t>
      </w:r>
      <w:r>
        <w:rPr>
          <w:rFonts w:ascii="Times New Roman" w:eastAsia="Times New Roman" w:hAnsi="Times New Roman" w:cs="Times New Roman"/>
          <w:color w:val="000000"/>
          <w:spacing w:val="0"/>
          <w:w w:val="100"/>
          <w:position w:val="0"/>
          <w:shd w:val="clear" w:color="auto" w:fill="auto"/>
          <w:lang w:val="en-US" w:eastAsia="en-US" w:bidi="en-US"/>
        </w:rPr>
        <w:t xml:space="preserve">products and grain in </w:t>
      </w:r>
      <w:r>
        <w:rPr>
          <w:rFonts w:ascii="Times New Roman" w:eastAsia="Times New Roman" w:hAnsi="Times New Roman" w:cs="Times New Roman"/>
          <w:color w:val="000000"/>
          <w:spacing w:val="0"/>
          <w:w w:val="100"/>
          <w:position w:val="0"/>
          <w:shd w:val="clear" w:color="auto" w:fill="auto"/>
          <w:lang w:val="en-US" w:eastAsia="en-US" w:bidi="en-US"/>
        </w:rPr>
        <w:t xml:space="preserve">the middle section, and of general merchandise, </w:t>
      </w:r>
      <w:r>
        <w:rPr>
          <w:rFonts w:ascii="Times New Roman" w:eastAsia="Times New Roman" w:hAnsi="Times New Roman" w:cs="Times New Roman"/>
          <w:color w:val="000000"/>
          <w:spacing w:val="0"/>
          <w:w w:val="100"/>
          <w:position w:val="0"/>
          <w:shd w:val="clear" w:color="auto" w:fill="auto"/>
          <w:lang w:val="en-US" w:eastAsia="en-US" w:bidi="en-US"/>
        </w:rPr>
        <w:t xml:space="preserve">farm products </w:t>
      </w:r>
      <w:r>
        <w:rPr>
          <w:rFonts w:ascii="Times New Roman" w:eastAsia="Times New Roman" w:hAnsi="Times New Roman" w:cs="Times New Roman"/>
          <w:color w:val="000000"/>
          <w:spacing w:val="0"/>
          <w:w w:val="100"/>
          <w:position w:val="0"/>
          <w:shd w:val="clear" w:color="auto" w:fill="auto"/>
          <w:lang w:val="en-US" w:eastAsia="en-US" w:bidi="en-US"/>
        </w:rPr>
        <w:t>and timber products in the lower section.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the Civil War </w:t>
      </w:r>
      <w:r>
        <w:rPr>
          <w:rFonts w:ascii="Times New Roman" w:eastAsia="Times New Roman" w:hAnsi="Times New Roman" w:cs="Times New Roman"/>
          <w:color w:val="000000"/>
          <w:spacing w:val="0"/>
          <w:w w:val="100"/>
          <w:position w:val="0"/>
          <w:shd w:val="clear" w:color="auto" w:fill="auto"/>
          <w:lang w:val="en-US" w:eastAsia="en-US" w:bidi="en-US"/>
        </w:rPr>
        <w:t xml:space="preserve">Fort </w:t>
      </w:r>
      <w:r>
        <w:rPr>
          <w:rFonts w:ascii="Times New Roman" w:eastAsia="Times New Roman" w:hAnsi="Times New Roman" w:cs="Times New Roman"/>
          <w:color w:val="000000"/>
          <w:spacing w:val="0"/>
          <w:w w:val="100"/>
          <w:position w:val="0"/>
          <w:shd w:val="clear" w:color="auto" w:fill="auto"/>
          <w:lang w:val="en-US" w:eastAsia="en-US" w:bidi="en-US"/>
        </w:rPr>
        <w:t xml:space="preserve">Henry was erected </w:t>
      </w:r>
      <w:r>
        <w:rPr>
          <w:rFonts w:ascii="Times New Roman" w:eastAsia="Times New Roman" w:hAnsi="Times New Roman" w:cs="Times New Roman"/>
          <w:color w:val="000000"/>
          <w:spacing w:val="0"/>
          <w:w w:val="100"/>
          <w:position w:val="0"/>
          <w:shd w:val="clear" w:color="auto" w:fill="auto"/>
          <w:lang w:val="en-US" w:eastAsia="en-US" w:bidi="en-US"/>
        </w:rPr>
        <w:t xml:space="preserve">by the Confederates </w:t>
      </w:r>
      <w:r>
        <w:rPr>
          <w:rFonts w:ascii="Times New Roman" w:eastAsia="Times New Roman" w:hAnsi="Times New Roman" w:cs="Times New Roman"/>
          <w:color w:val="000000"/>
          <w:spacing w:val="0"/>
          <w:w w:val="100"/>
          <w:position w:val="0"/>
          <w:shd w:val="clear" w:color="auto" w:fill="auto"/>
          <w:lang w:val="en-US" w:eastAsia="en-US" w:bidi="en-US"/>
        </w:rPr>
        <w:t xml:space="preserve">on the Tennessee river, in Tennessee just </w:t>
      </w:r>
      <w:r>
        <w:rPr>
          <w:rFonts w:ascii="Times New Roman" w:eastAsia="Times New Roman" w:hAnsi="Times New Roman" w:cs="Times New Roman"/>
          <w:color w:val="000000"/>
          <w:spacing w:val="0"/>
          <w:w w:val="100"/>
          <w:position w:val="0"/>
          <w:shd w:val="clear" w:color="auto" w:fill="auto"/>
          <w:lang w:val="en-US" w:eastAsia="en-US" w:bidi="en-US"/>
        </w:rPr>
        <w:t xml:space="preserve">below the Kentucky </w:t>
      </w:r>
      <w:r>
        <w:rPr>
          <w:rFonts w:ascii="Times New Roman" w:eastAsia="Times New Roman" w:hAnsi="Times New Roman" w:cs="Times New Roman"/>
          <w:color w:val="000000"/>
          <w:spacing w:val="0"/>
          <w:w w:val="100"/>
          <w:position w:val="0"/>
          <w:shd w:val="clear" w:color="auto" w:fill="auto"/>
          <w:lang w:val="en-US" w:eastAsia="en-US" w:bidi="en-US"/>
        </w:rPr>
        <w:t xml:space="preserve">state line, and on the 6th of February 1862 was captured by Com. A. H. Foote; Fort Donelson on the Cumberland, </w:t>
      </w:r>
      <w:r>
        <w:rPr>
          <w:rFonts w:ascii="Times New Roman" w:eastAsia="Times New Roman" w:hAnsi="Times New Roman" w:cs="Times New Roman"/>
          <w:color w:val="000000"/>
          <w:spacing w:val="0"/>
          <w:w w:val="100"/>
          <w:position w:val="0"/>
          <w:shd w:val="clear" w:color="auto" w:fill="auto"/>
          <w:lang w:val="en-US" w:eastAsia="en-US" w:bidi="en-US"/>
        </w:rPr>
        <w:t xml:space="preserve">several miles </w:t>
      </w:r>
      <w:r>
        <w:rPr>
          <w:rFonts w:ascii="Times New Roman" w:eastAsia="Times New Roman" w:hAnsi="Times New Roman" w:cs="Times New Roman"/>
          <w:color w:val="000000"/>
          <w:spacing w:val="0"/>
          <w:w w:val="100"/>
          <w:position w:val="0"/>
          <w:shd w:val="clear" w:color="auto" w:fill="auto"/>
          <w:lang w:val="en-US" w:eastAsia="en-US" w:bidi="en-US"/>
        </w:rPr>
        <w:t xml:space="preserve">east, was captured on the </w:t>
      </w:r>
      <w:r>
        <w:rPr>
          <w:rFonts w:ascii="Times New Roman" w:eastAsia="Times New Roman" w:hAnsi="Times New Roman" w:cs="Times New Roman"/>
          <w:color w:val="000000"/>
          <w:spacing w:val="0"/>
          <w:w w:val="100"/>
          <w:position w:val="0"/>
          <w:shd w:val="clear" w:color="auto" w:fill="auto"/>
          <w:lang w:val="en-US" w:eastAsia="en-US" w:bidi="en-US"/>
        </w:rPr>
        <w:t xml:space="preserve">16th </w:t>
      </w:r>
      <w:r>
        <w:rPr>
          <w:rFonts w:ascii="Times New Roman" w:eastAsia="Times New Roman" w:hAnsi="Times New Roman" w:cs="Times New Roman"/>
          <w:color w:val="000000"/>
          <w:spacing w:val="0"/>
          <w:w w:val="100"/>
          <w:position w:val="0"/>
          <w:shd w:val="clear" w:color="auto" w:fill="auto"/>
          <w:lang w:val="en-US" w:eastAsia="en-US" w:bidi="en-US"/>
        </w:rPr>
        <w:t xml:space="preserve">by General </w:t>
      </w:r>
      <w:r>
        <w:rPr>
          <w:rFonts w:ascii="Times New Roman" w:eastAsia="Times New Roman" w:hAnsi="Times New Roman" w:cs="Times New Roman"/>
          <w:color w:val="000000"/>
          <w:spacing w:val="0"/>
          <w:w w:val="100"/>
          <w:position w:val="0"/>
          <w:shd w:val="clear" w:color="auto" w:fill="auto"/>
          <w:lang w:val="fr-FR" w:eastAsia="fr-FR" w:bidi="fr-FR"/>
        </w:rPr>
        <w:t xml:space="preserve">U. </w:t>
      </w:r>
      <w:r>
        <w:rPr>
          <w:rFonts w:ascii="Times New Roman" w:eastAsia="Times New Roman" w:hAnsi="Times New Roman" w:cs="Times New Roman"/>
          <w:color w:val="000000"/>
          <w:spacing w:val="0"/>
          <w:w w:val="100"/>
          <w:position w:val="0"/>
          <w:shd w:val="clear" w:color="auto" w:fill="auto"/>
          <w:lang w:val="en-US" w:eastAsia="en-US" w:bidi="en-US"/>
        </w:rPr>
        <w:t xml:space="preserve">S. Grant, and the </w:t>
      </w:r>
      <w:r>
        <w:rPr>
          <w:rFonts w:ascii="Times New Roman" w:eastAsia="Times New Roman" w:hAnsi="Times New Roman" w:cs="Times New Roman"/>
          <w:color w:val="000000"/>
          <w:spacing w:val="0"/>
          <w:w w:val="100"/>
          <w:position w:val="0"/>
          <w:shd w:val="clear" w:color="auto" w:fill="auto"/>
          <w:lang w:val="en-US" w:eastAsia="en-US" w:bidi="en-US"/>
        </w:rPr>
        <w:t>two rivers were thus opened for the advance of the Federals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far into </w:t>
      </w:r>
      <w:r>
        <w:rPr>
          <w:rFonts w:ascii="Times New Roman" w:eastAsia="Times New Roman" w:hAnsi="Times New Roman" w:cs="Times New Roman"/>
          <w:color w:val="000000"/>
          <w:spacing w:val="0"/>
          <w:w w:val="100"/>
          <w:position w:val="0"/>
          <w:shd w:val="clear" w:color="auto" w:fill="auto"/>
          <w:lang w:val="en-US" w:eastAsia="en-US" w:bidi="en-US"/>
        </w:rPr>
        <w:t>Confederate territory.</w:t>
      </w:r>
    </w:p>
    <w:p>
      <w:pPr>
        <w:pStyle w:val="Style3"/>
        <w:keepNext w:val="0"/>
        <w:keepLines w:val="0"/>
        <w:widowControl w:val="0"/>
        <w:shd w:val="clear" w:color="auto" w:fill="auto"/>
        <w:tabs>
          <w:tab w:pos="2995" w:val="left"/>
        </w:tabs>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TENNIEL, SIR JOHN </w:t>
      </w:r>
      <w:r>
        <w:rPr>
          <w:rFonts w:ascii="Times New Roman" w:eastAsia="Times New Roman" w:hAnsi="Times New Roman" w:cs="Times New Roman"/>
          <w:color w:val="000000"/>
          <w:spacing w:val="0"/>
          <w:w w:val="100"/>
          <w:position w:val="0"/>
          <w:shd w:val="clear" w:color="auto" w:fill="auto"/>
          <w:lang w:val="en-US" w:eastAsia="en-US" w:bidi="en-US"/>
        </w:rPr>
        <w:t>(1820-</w:t>
        <w:tab/>
        <w:t>), English humorous and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satirical </w:t>
      </w:r>
      <w:r>
        <w:rPr>
          <w:rFonts w:ascii="Times New Roman" w:eastAsia="Times New Roman" w:hAnsi="Times New Roman" w:cs="Times New Roman"/>
          <w:color w:val="000000"/>
          <w:spacing w:val="0"/>
          <w:w w:val="100"/>
          <w:position w:val="0"/>
          <w:shd w:val="clear" w:color="auto" w:fill="auto"/>
          <w:lang w:val="en-US" w:eastAsia="en-US" w:bidi="en-US"/>
        </w:rPr>
        <w:t>artist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specially </w:t>
      </w:r>
      <w:r>
        <w:rPr>
          <w:rFonts w:ascii="Times New Roman" w:eastAsia="Times New Roman" w:hAnsi="Times New Roman" w:cs="Times New Roman"/>
          <w:color w:val="000000"/>
          <w:spacing w:val="0"/>
          <w:w w:val="100"/>
          <w:position w:val="0"/>
          <w:shd w:val="clear" w:color="auto" w:fill="auto"/>
          <w:lang w:val="en-US" w:eastAsia="en-US" w:bidi="en-US"/>
        </w:rPr>
        <w:t xml:space="preserve">identified </w:t>
      </w: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i/>
          <w:iCs/>
          <w:color w:val="000000"/>
          <w:spacing w:val="0"/>
          <w:w w:val="100"/>
          <w:position w:val="0"/>
          <w:shd w:val="clear" w:color="auto" w:fill="auto"/>
          <w:lang w:val="en-US" w:eastAsia="en-US" w:bidi="en-US"/>
        </w:rPr>
        <w:t>Punch</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was born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London in 1820. </w:t>
      </w:r>
      <w:r>
        <w:rPr>
          <w:rFonts w:ascii="Times New Roman" w:eastAsia="Times New Roman" w:hAnsi="Times New Roman" w:cs="Times New Roman"/>
          <w:color w:val="000000"/>
          <w:spacing w:val="0"/>
          <w:w w:val="100"/>
          <w:position w:val="0"/>
          <w:shd w:val="clear" w:color="auto" w:fill="auto"/>
          <w:lang w:val="en-US" w:eastAsia="en-US" w:bidi="en-US"/>
        </w:rPr>
        <w:t xml:space="preserve">He educated </w:t>
      </w:r>
      <w:r>
        <w:rPr>
          <w:rFonts w:ascii="Times New Roman" w:eastAsia="Times New Roman" w:hAnsi="Times New Roman" w:cs="Times New Roman"/>
          <w:color w:val="000000"/>
          <w:spacing w:val="0"/>
          <w:w w:val="100"/>
          <w:position w:val="0"/>
          <w:shd w:val="clear" w:color="auto" w:fill="auto"/>
          <w:lang w:val="en-US" w:eastAsia="en-US" w:bidi="en-US"/>
        </w:rPr>
        <w:t xml:space="preserve">himself for his career,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although he became a probationer, and then a student, of the Royal Academy, </w:t>
      </w:r>
      <w:r>
        <w:rPr>
          <w:rFonts w:ascii="Times New Roman" w:eastAsia="Times New Roman" w:hAnsi="Times New Roman" w:cs="Times New Roman"/>
          <w:color w:val="000000"/>
          <w:spacing w:val="0"/>
          <w:w w:val="100"/>
          <w:position w:val="0"/>
          <w:shd w:val="clear" w:color="auto" w:fill="auto"/>
          <w:lang w:val="en-US" w:eastAsia="en-US" w:bidi="en-US"/>
        </w:rPr>
        <w:t xml:space="preserve">he soon left </w:t>
      </w:r>
      <w:r>
        <w:rPr>
          <w:rFonts w:ascii="Times New Roman" w:eastAsia="Times New Roman" w:hAnsi="Times New Roman" w:cs="Times New Roman"/>
          <w:color w:val="000000"/>
          <w:spacing w:val="0"/>
          <w:w w:val="100"/>
          <w:position w:val="0"/>
          <w:shd w:val="clear" w:color="auto" w:fill="auto"/>
          <w:lang w:val="en-US" w:eastAsia="en-US" w:bidi="en-US"/>
        </w:rPr>
        <w:t xml:space="preserve">the schools, where at that </w:t>
      </w:r>
      <w:r>
        <w:rPr>
          <w:rFonts w:ascii="Times New Roman" w:eastAsia="Times New Roman" w:hAnsi="Times New Roman" w:cs="Times New Roman"/>
          <w:color w:val="000000"/>
          <w:spacing w:val="0"/>
          <w:w w:val="100"/>
          <w:position w:val="0"/>
          <w:shd w:val="clear" w:color="auto" w:fill="auto"/>
          <w:lang w:val="en-US" w:eastAsia="en-US" w:bidi="en-US"/>
        </w:rPr>
        <w:t xml:space="preserve">time there </w:t>
      </w:r>
      <w:r>
        <w:rPr>
          <w:rFonts w:ascii="Times New Roman" w:eastAsia="Times New Roman" w:hAnsi="Times New Roman" w:cs="Times New Roman"/>
          <w:color w:val="000000"/>
          <w:spacing w:val="0"/>
          <w:w w:val="100"/>
          <w:position w:val="0"/>
          <w:shd w:val="clear" w:color="auto" w:fill="auto"/>
          <w:lang w:val="en-US" w:eastAsia="en-US" w:bidi="en-US"/>
        </w:rPr>
        <w:t xml:space="preserve">was little teaching. In </w:t>
      </w:r>
      <w:r>
        <w:rPr>
          <w:rFonts w:ascii="Times New Roman" w:eastAsia="Times New Roman" w:hAnsi="Times New Roman" w:cs="Times New Roman"/>
          <w:color w:val="000000"/>
          <w:spacing w:val="0"/>
          <w:w w:val="100"/>
          <w:position w:val="0"/>
          <w:shd w:val="clear" w:color="auto" w:fill="auto"/>
          <w:lang w:val="en-US" w:eastAsia="en-US" w:bidi="en-US"/>
        </w:rPr>
        <w:t xml:space="preserve">1836 </w:t>
      </w:r>
      <w:r>
        <w:rPr>
          <w:rFonts w:ascii="Times New Roman" w:eastAsia="Times New Roman" w:hAnsi="Times New Roman" w:cs="Times New Roman"/>
          <w:color w:val="000000"/>
          <w:spacing w:val="0"/>
          <w:w w:val="100"/>
          <w:position w:val="0"/>
          <w:shd w:val="clear" w:color="auto" w:fill="auto"/>
          <w:lang w:val="en-US" w:eastAsia="en-US" w:bidi="en-US"/>
        </w:rPr>
        <w:t xml:space="preserve">he sent his first picture to the exhibition of the Society of British Artists, and in </w:t>
      </w:r>
      <w:r>
        <w:rPr>
          <w:rFonts w:ascii="Times New Roman" w:eastAsia="Times New Roman" w:hAnsi="Times New Roman" w:cs="Times New Roman"/>
          <w:color w:val="000000"/>
          <w:spacing w:val="0"/>
          <w:w w:val="100"/>
          <w:position w:val="0"/>
          <w:shd w:val="clear" w:color="auto" w:fill="auto"/>
          <w:lang w:val="en-US" w:eastAsia="en-US" w:bidi="en-US"/>
        </w:rPr>
        <w:t xml:space="preserve">1845 </w:t>
      </w:r>
      <w:r>
        <w:rPr>
          <w:rFonts w:ascii="Times New Roman" w:eastAsia="Times New Roman" w:hAnsi="Times New Roman" w:cs="Times New Roman"/>
          <w:color w:val="000000"/>
          <w:spacing w:val="0"/>
          <w:w w:val="100"/>
          <w:position w:val="0"/>
          <w:shd w:val="clear" w:color="auto" w:fill="auto"/>
          <w:lang w:val="en-US" w:eastAsia="en-US" w:bidi="en-US"/>
        </w:rPr>
        <w:t xml:space="preserve">contributed a 16-ft. </w:t>
      </w:r>
      <w:r>
        <w:rPr>
          <w:rFonts w:ascii="Times New Roman" w:eastAsia="Times New Roman" w:hAnsi="Times New Roman" w:cs="Times New Roman"/>
          <w:color w:val="000000"/>
          <w:spacing w:val="0"/>
          <w:w w:val="100"/>
          <w:position w:val="0"/>
          <w:shd w:val="clear" w:color="auto" w:fill="auto"/>
          <w:lang w:val="en-US" w:eastAsia="en-US" w:bidi="en-US"/>
        </w:rPr>
        <w:t xml:space="preserve">cartoon, “ </w:t>
      </w:r>
      <w:r>
        <w:rPr>
          <w:rFonts w:ascii="Times New Roman" w:eastAsia="Times New Roman" w:hAnsi="Times New Roman" w:cs="Times New Roman"/>
          <w:color w:val="000000"/>
          <w:spacing w:val="0"/>
          <w:w w:val="100"/>
          <w:position w:val="0"/>
          <w:shd w:val="clear" w:color="auto" w:fill="auto"/>
          <w:lang w:val="en-US" w:eastAsia="en-US" w:bidi="en-US"/>
        </w:rPr>
        <w:t xml:space="preserve">An Allegory of Justice,” to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competition, held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that year, of designs for the mural decora</w:t>
        <w:softHyphen/>
        <w:t xml:space="preserve">tion of the new Palace of Westminster. For this he received a £200 premium and a commission to paint a fresco in the Upper Waiting Hall (or “ Hall of Poets ”) in the House of Lords. In spite of his tendency towards “ high art,” he was already known and appreciated as a humorist, and his early companionship with Charles Keene fostered and developed his talent for scholarly caricature. At Christmas time 1850 he was invited by Mark Lemon to fill the position of joint cartoonist (with John Leech) on </w:t>
      </w:r>
      <w:r>
        <w:rPr>
          <w:rFonts w:ascii="Times New Roman" w:eastAsia="Times New Roman" w:hAnsi="Times New Roman" w:cs="Times New Roman"/>
          <w:i/>
          <w:iCs/>
          <w:color w:val="000000"/>
          <w:spacing w:val="0"/>
          <w:w w:val="100"/>
          <w:position w:val="0"/>
          <w:shd w:val="clear" w:color="auto" w:fill="auto"/>
          <w:lang w:val="en-US" w:eastAsia="en-US" w:bidi="en-US"/>
        </w:rPr>
        <w:t>Punch,</w:t>
      </w:r>
      <w:r>
        <w:rPr>
          <w:rFonts w:ascii="Times New Roman" w:eastAsia="Times New Roman" w:hAnsi="Times New Roman" w:cs="Times New Roman"/>
          <w:color w:val="000000"/>
          <w:spacing w:val="0"/>
          <w:w w:val="100"/>
          <w:position w:val="0"/>
          <w:shd w:val="clear" w:color="auto" w:fill="auto"/>
          <w:lang w:val="en-US" w:eastAsia="en-US" w:bidi="en-US"/>
        </w:rPr>
        <w:t xml:space="preserve"> from which Richard Doyle, offended by the attitude adopted by the paper towards the Papal see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the time of the so-called “ aggression,” had suddenly resigned. On the strength of his remarkable illustrations to Aesop’s Fables, in which artistic power, humour of observation, and knowledge of animal life were equally apparent, Tenniel was selected, on Douglas Jerrold’s initiative, to fill the breach, and he contributed his first drawing in the initial letter appearing on p. 224, vol. xix. His first “ cartoon ” was “ Lord Jack the Giant Killer it showed Lord John Russell, whose letter on the “ aggression ” had recently been published, valiantly assail</w:t>
        <w:softHyphen/>
        <w:t xml:space="preserve">ing with the sword of truth and liberty Cardinal Wiseman armed with a crozier. In 1852 we find Tenniel’s first superb lion, and his first obituary cartoon. Gradually he took over altogether the weekly drawing of the political “ big cut,” which John Leech was happy to resign into his hands in order to restrict himself to his pictures of life and character. Leech’s work consisted for the most part of farce; Tenniel’s was high comedy, and not infrequently tragedy; and the freedom of the humorist heightened the severer beauties of the satirist. When Leech died his friend continued his work alone, and except in 1864, 1868, and 1875-6-7-8, during short spells of illness or holiday, he did not miss a single week. About 23∞ cartoons, innumerable minor drawings, </w:t>
      </w:r>
      <w:r>
        <w:rPr>
          <w:rFonts w:ascii="Times New Roman" w:eastAsia="Times New Roman" w:hAnsi="Times New Roman" w:cs="Times New Roman"/>
          <w:color w:val="000000"/>
          <w:spacing w:val="0"/>
          <w:w w:val="100"/>
          <w:position w:val="0"/>
          <w:shd w:val="clear" w:color="auto" w:fill="auto"/>
          <w:lang w:val="fr-FR" w:eastAsia="fr-FR" w:bidi="fr-FR"/>
        </w:rPr>
        <w:t xml:space="preserve">double-page </w:t>
      </w:r>
      <w:r>
        <w:rPr>
          <w:rFonts w:ascii="Times New Roman" w:eastAsia="Times New Roman" w:hAnsi="Times New Roman" w:cs="Times New Roman"/>
          <w:color w:val="000000"/>
          <w:spacing w:val="0"/>
          <w:w w:val="100"/>
          <w:position w:val="0"/>
          <w:shd w:val="clear" w:color="auto" w:fill="auto"/>
          <w:lang w:val="en-US" w:eastAsia="en-US" w:bidi="en-US"/>
        </w:rPr>
        <w:t xml:space="preserve">cartoons for </w:t>
      </w:r>
      <w:r>
        <w:rPr>
          <w:rFonts w:ascii="Times New Roman" w:eastAsia="Times New Roman" w:hAnsi="Times New Roman" w:cs="Times New Roman"/>
          <w:i/>
          <w:iCs/>
          <w:color w:val="000000"/>
          <w:spacing w:val="0"/>
          <w:w w:val="100"/>
          <w:position w:val="0"/>
          <w:shd w:val="clear" w:color="auto" w:fill="auto"/>
          <w:lang w:val="en-US" w:eastAsia="en-US" w:bidi="en-US"/>
        </w:rPr>
        <w:t>Punch’s Almanac</w:t>
      </w:r>
      <w:r>
        <w:rPr>
          <w:rFonts w:ascii="Times New Roman" w:eastAsia="Times New Roman" w:hAnsi="Times New Roman" w:cs="Times New Roman"/>
          <w:color w:val="000000"/>
          <w:spacing w:val="0"/>
          <w:w w:val="100"/>
          <w:position w:val="0"/>
          <w:shd w:val="clear" w:color="auto" w:fill="auto"/>
          <w:lang w:val="en-US" w:eastAsia="en-US" w:bidi="en-US"/>
        </w:rPr>
        <w:t xml:space="preserve"> and other special numbers, and 250 designs for </w:t>
      </w:r>
      <w:r>
        <w:rPr>
          <w:rFonts w:ascii="Times New Roman" w:eastAsia="Times New Roman" w:hAnsi="Times New Roman" w:cs="Times New Roman"/>
          <w:i/>
          <w:iCs/>
          <w:color w:val="000000"/>
          <w:spacing w:val="0"/>
          <w:w w:val="100"/>
          <w:position w:val="0"/>
          <w:shd w:val="clear" w:color="auto" w:fill="auto"/>
          <w:lang w:val="en-US" w:eastAsia="en-US" w:bidi="en-US"/>
        </w:rPr>
        <w:t>Punch’s Pocket-books,</w:t>
      </w:r>
      <w:r>
        <w:rPr>
          <w:rFonts w:ascii="Times New Roman" w:eastAsia="Times New Roman" w:hAnsi="Times New Roman" w:cs="Times New Roman"/>
          <w:color w:val="000000"/>
          <w:spacing w:val="0"/>
          <w:w w:val="100"/>
          <w:position w:val="0"/>
          <w:shd w:val="clear" w:color="auto" w:fill="auto"/>
          <w:lang w:val="en-US" w:eastAsia="en-US" w:bidi="en-US"/>
        </w:rPr>
        <w:t xml:space="preserve"> comprise the sum of Sir John Tenniel’s work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the periodical in the service of which he spent the greater portion of his life. When Tenniel retired from the service of </w:t>
      </w:r>
      <w:r>
        <w:rPr>
          <w:rFonts w:ascii="Times New Roman" w:eastAsia="Times New Roman" w:hAnsi="Times New Roman" w:cs="Times New Roman"/>
          <w:i/>
          <w:iCs/>
          <w:color w:val="000000"/>
          <w:spacing w:val="0"/>
          <w:w w:val="100"/>
          <w:position w:val="0"/>
          <w:shd w:val="clear" w:color="auto" w:fill="auto"/>
          <w:lang w:val="en-US" w:eastAsia="en-US" w:bidi="en-US"/>
        </w:rPr>
        <w:t>Punch</w:t>
      </w:r>
      <w:r>
        <w:rPr>
          <w:rFonts w:ascii="Times New Roman" w:eastAsia="Times New Roman" w:hAnsi="Times New Roman" w:cs="Times New Roman"/>
          <w:color w:val="000000"/>
          <w:spacing w:val="0"/>
          <w:w w:val="100"/>
          <w:position w:val="0"/>
          <w:shd w:val="clear" w:color="auto" w:fill="auto"/>
          <w:lang w:val="en-US" w:eastAsia="en-US" w:bidi="en-US"/>
        </w:rPr>
        <w:t xml:space="preserve"> in January 1901 he received the honour of a </w:t>
      </w:r>
      <w:r>
        <w:rPr>
          <w:rFonts w:ascii="Times New Roman" w:eastAsia="Times New Roman" w:hAnsi="Times New Roman" w:cs="Times New Roman"/>
          <w:color w:val="000000"/>
          <w:spacing w:val="0"/>
          <w:w w:val="100"/>
          <w:position w:val="0"/>
          <w:shd w:val="clear" w:color="auto" w:fill="auto"/>
          <w:lang w:val="en-US" w:eastAsia="en-US" w:bidi="en-US"/>
        </w:rPr>
        <w:t xml:space="preserve">farewell </w:t>
      </w:r>
      <w:r>
        <w:rPr>
          <w:rFonts w:ascii="Times New Roman" w:eastAsia="Times New Roman" w:hAnsi="Times New Roman" w:cs="Times New Roman"/>
          <w:color w:val="000000"/>
          <w:spacing w:val="0"/>
          <w:w w:val="100"/>
          <w:position w:val="0"/>
          <w:shd w:val="clear" w:color="auto" w:fill="auto"/>
          <w:lang w:val="en-US" w:eastAsia="en-US" w:bidi="en-US"/>
        </w:rPr>
        <w:t xml:space="preserve">banquet (r2th June), at which Mr A. J. Balfour, then </w:t>
      </w:r>
      <w:r>
        <w:rPr>
          <w:rFonts w:ascii="Times New Roman" w:eastAsia="Times New Roman" w:hAnsi="Times New Roman" w:cs="Times New Roman"/>
          <w:color w:val="000000"/>
          <w:spacing w:val="0"/>
          <w:w w:val="100"/>
          <w:position w:val="0"/>
          <w:shd w:val="clear" w:color="auto" w:fill="auto"/>
          <w:lang w:val="en-US" w:eastAsia="en-US" w:bidi="en-US"/>
        </w:rPr>
        <w:t xml:space="preserve">leader of the </w:t>
      </w:r>
      <w:r>
        <w:rPr>
          <w:rFonts w:ascii="Times New Roman" w:eastAsia="Times New Roman" w:hAnsi="Times New Roman" w:cs="Times New Roman"/>
          <w:color w:val="000000"/>
          <w:spacing w:val="0"/>
          <w:w w:val="100"/>
          <w:position w:val="0"/>
          <w:shd w:val="clear" w:color="auto" w:fill="auto"/>
          <w:lang w:val="en-US" w:eastAsia="en-US" w:bidi="en-US"/>
        </w:rPr>
        <w:t xml:space="preserve">House of Commons, presided, and was supported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distinguished representatives of all that was best in English </w:t>
      </w:r>
      <w:r>
        <w:rPr>
          <w:rFonts w:ascii="Times New Roman" w:eastAsia="Times New Roman" w:hAnsi="Times New Roman" w:cs="Times New Roman"/>
          <w:color w:val="000000"/>
          <w:spacing w:val="0"/>
          <w:w w:val="100"/>
          <w:position w:val="0"/>
          <w:shd w:val="clear" w:color="auto" w:fill="auto"/>
          <w:lang w:val="en-US" w:eastAsia="en-US" w:bidi="en-US"/>
        </w:rPr>
        <w:t xml:space="preserve">life.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 xml:space="preserve">occasion Mr Balfour’s description of Tenniel as </w:t>
      </w:r>
      <w:r>
        <w:rPr>
          <w:rFonts w:ascii="Times New Roman" w:eastAsia="Times New Roman" w:hAnsi="Times New Roman" w:cs="Times New Roman"/>
          <w:color w:val="000000"/>
          <w:spacing w:val="0"/>
          <w:w w:val="100"/>
          <w:position w:val="0"/>
          <w:shd w:val="clear" w:color="auto" w:fill="auto"/>
          <w:lang w:val="en-US" w:eastAsia="en-US" w:bidi="en-US"/>
        </w:rPr>
        <w:t xml:space="preserve">“ a great artist and a </w:t>
      </w:r>
      <w:r>
        <w:rPr>
          <w:rFonts w:ascii="Times New Roman" w:eastAsia="Times New Roman" w:hAnsi="Times New Roman" w:cs="Times New Roman"/>
          <w:color w:val="000000"/>
          <w:spacing w:val="0"/>
          <w:w w:val="100"/>
          <w:position w:val="0"/>
          <w:shd w:val="clear" w:color="auto" w:fill="auto"/>
          <w:lang w:val="en-US" w:eastAsia="en-US" w:bidi="en-US"/>
        </w:rPr>
        <w:t xml:space="preserve">great gentleman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applauded by the </w:t>
      </w:r>
      <w:r>
        <w:rPr>
          <w:rFonts w:ascii="Times New Roman" w:eastAsia="Times New Roman" w:hAnsi="Times New Roman" w:cs="Times New Roman"/>
          <w:color w:val="000000"/>
          <w:spacing w:val="0"/>
          <w:w w:val="100"/>
          <w:position w:val="0"/>
          <w:shd w:val="clear" w:color="auto" w:fill="auto"/>
          <w:lang w:val="en-US" w:eastAsia="en-US" w:bidi="en-US"/>
        </w:rPr>
        <w:t xml:space="preserve">press of the whole </w:t>
      </w:r>
      <w:r>
        <w:rPr>
          <w:rFonts w:ascii="Times New Roman" w:eastAsia="Times New Roman" w:hAnsi="Times New Roman" w:cs="Times New Roman"/>
          <w:color w:val="000000"/>
          <w:spacing w:val="0"/>
          <w:w w:val="100"/>
          <w:position w:val="0"/>
          <w:shd w:val="clear" w:color="auto" w:fill="auto"/>
          <w:lang w:val="en-US" w:eastAsia="en-US" w:bidi="en-US"/>
        </w:rPr>
        <w:t>country.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main </w:t>
      </w:r>
      <w:r>
        <w:rPr>
          <w:rFonts w:ascii="Times New Roman" w:eastAsia="Times New Roman" w:hAnsi="Times New Roman" w:cs="Times New Roman"/>
          <w:color w:val="000000"/>
          <w:spacing w:val="0"/>
          <w:w w:val="100"/>
          <w:position w:val="0"/>
          <w:shd w:val="clear" w:color="auto" w:fill="auto"/>
          <w:lang w:val="en-US" w:eastAsia="en-US" w:bidi="en-US"/>
        </w:rPr>
        <w:t xml:space="preserve">quality </w:t>
      </w:r>
      <w:r>
        <w:rPr>
          <w:rFonts w:ascii="Times New Roman" w:eastAsia="Times New Roman" w:hAnsi="Times New Roman" w:cs="Times New Roman"/>
          <w:color w:val="000000"/>
          <w:spacing w:val="0"/>
          <w:w w:val="100"/>
          <w:position w:val="0"/>
          <w:shd w:val="clear" w:color="auto" w:fill="auto"/>
          <w:lang w:val="en-US" w:eastAsia="en-US" w:bidi="en-US"/>
        </w:rPr>
        <w:t xml:space="preserve">of Sir John Tenniel’s work is accuracy of drawing, </w:t>
      </w:r>
      <w:r>
        <w:rPr>
          <w:rFonts w:ascii="Times New Roman" w:eastAsia="Times New Roman" w:hAnsi="Times New Roman" w:cs="Times New Roman"/>
          <w:color w:val="000000"/>
          <w:spacing w:val="0"/>
          <w:w w:val="100"/>
          <w:position w:val="0"/>
          <w:shd w:val="clear" w:color="auto" w:fill="auto"/>
          <w:lang w:val="en-US" w:eastAsia="en-US" w:bidi="en-US"/>
        </w:rPr>
        <w:t xml:space="preserve">precision of touch, grace </w:t>
      </w:r>
      <w:r>
        <w:rPr>
          <w:rFonts w:ascii="Times New Roman" w:eastAsia="Times New Roman" w:hAnsi="Times New Roman" w:cs="Times New Roman"/>
          <w:color w:val="000000"/>
          <w:spacing w:val="0"/>
          <w:w w:val="100"/>
          <w:position w:val="0"/>
          <w:shd w:val="clear" w:color="auto" w:fill="auto"/>
          <w:lang w:val="en-US" w:eastAsia="en-US" w:bidi="en-US"/>
        </w:rPr>
        <w:t>and dignity of conception, and</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so far as </w:t>
      </w:r>
      <w:r>
        <w:rPr>
          <w:rFonts w:ascii="Times New Roman" w:eastAsia="Times New Roman" w:hAnsi="Times New Roman" w:cs="Times New Roman"/>
          <w:color w:val="000000"/>
          <w:spacing w:val="0"/>
          <w:w w:val="100"/>
          <w:position w:val="0"/>
          <w:shd w:val="clear" w:color="auto" w:fill="auto"/>
          <w:lang w:val="en-US" w:eastAsia="en-US" w:bidi="en-US"/>
        </w:rPr>
        <w:t>such things can be compatible—</w:t>
      </w:r>
      <w:r>
        <w:rPr>
          <w:rFonts w:ascii="Times New Roman" w:eastAsia="Times New Roman" w:hAnsi="Times New Roman" w:cs="Times New Roman"/>
          <w:color w:val="000000"/>
          <w:spacing w:val="0"/>
          <w:w w:val="100"/>
          <w:position w:val="0"/>
          <w:shd w:val="clear" w:color="auto" w:fill="auto"/>
          <w:lang w:val="en-US" w:eastAsia="en-US" w:bidi="en-US"/>
        </w:rPr>
        <w:t xml:space="preserve">geniality of satire. Tenniel raised </w:t>
      </w:r>
      <w:r>
        <w:rPr>
          <w:rFonts w:ascii="Times New Roman" w:eastAsia="Times New Roman" w:hAnsi="Times New Roman" w:cs="Times New Roman"/>
          <w:color w:val="000000"/>
          <w:spacing w:val="0"/>
          <w:w w:val="100"/>
          <w:position w:val="0"/>
          <w:shd w:val="clear" w:color="auto" w:fill="auto"/>
          <w:lang w:val="en-US" w:eastAsia="en-US" w:bidi="en-US"/>
        </w:rPr>
        <w:t xml:space="preserve">the political cartoon into a </w:t>
      </w:r>
      <w:r>
        <w:rPr>
          <w:rFonts w:ascii="Times New Roman" w:eastAsia="Times New Roman" w:hAnsi="Times New Roman" w:cs="Times New Roman"/>
          <w:color w:val="000000"/>
          <w:spacing w:val="0"/>
          <w:w w:val="100"/>
          <w:position w:val="0"/>
          <w:shd w:val="clear" w:color="auto" w:fill="auto"/>
          <w:lang w:val="en-US" w:eastAsia="en-US" w:bidi="en-US"/>
        </w:rPr>
        <w:t xml:space="preserve">classic composition, from which a sense of </w:t>
      </w:r>
      <w:r>
        <w:rPr>
          <w:rFonts w:ascii="Times New Roman" w:eastAsia="Times New Roman" w:hAnsi="Times New Roman" w:cs="Times New Roman"/>
          <w:color w:val="000000"/>
          <w:spacing w:val="0"/>
          <w:w w:val="100"/>
          <w:position w:val="0"/>
          <w:shd w:val="clear" w:color="auto" w:fill="auto"/>
          <w:lang w:val="en-US" w:eastAsia="en-US" w:bidi="en-US"/>
        </w:rPr>
        <w:t xml:space="preserve">nobility is rarely absent. The </w:t>
      </w:r>
      <w:r>
        <w:rPr>
          <w:rFonts w:ascii="Times New Roman" w:eastAsia="Times New Roman" w:hAnsi="Times New Roman" w:cs="Times New Roman"/>
          <w:color w:val="000000"/>
          <w:spacing w:val="0"/>
          <w:w w:val="100"/>
          <w:position w:val="0"/>
          <w:shd w:val="clear" w:color="auto" w:fill="auto"/>
          <w:lang w:val="en-US" w:eastAsia="en-US" w:bidi="en-US"/>
        </w:rPr>
        <w:t xml:space="preserve">beauty and statuesqueness of his </w:t>
      </w:r>
      <w:r>
        <w:rPr>
          <w:rFonts w:ascii="Times New Roman" w:eastAsia="Times New Roman" w:hAnsi="Times New Roman" w:cs="Times New Roman"/>
          <w:color w:val="000000"/>
          <w:spacing w:val="0"/>
          <w:w w:val="100"/>
          <w:position w:val="0"/>
          <w:shd w:val="clear" w:color="auto" w:fill="auto"/>
          <w:lang w:val="en-US" w:eastAsia="en-US" w:bidi="en-US"/>
        </w:rPr>
        <w:t xml:space="preserve">ideal figures recall the </w:t>
      </w:r>
      <w:r>
        <w:rPr>
          <w:rFonts w:ascii="Times New Roman" w:eastAsia="Times New Roman" w:hAnsi="Times New Roman" w:cs="Times New Roman"/>
          <w:color w:val="000000"/>
          <w:spacing w:val="0"/>
          <w:w w:val="100"/>
          <w:position w:val="0"/>
          <w:shd w:val="clear" w:color="auto" w:fill="auto"/>
          <w:lang w:val="en-US" w:eastAsia="en-US" w:bidi="en-US"/>
        </w:rPr>
        <w:t xml:space="preserve">influence, perhaps, of Cornelius and Over- </w:t>
      </w:r>
      <w:r>
        <w:rPr>
          <w:rFonts w:ascii="Times New Roman" w:eastAsia="Times New Roman" w:hAnsi="Times New Roman" w:cs="Times New Roman"/>
          <w:color w:val="000000"/>
          <w:spacing w:val="0"/>
          <w:w w:val="100"/>
          <w:position w:val="0"/>
          <w:shd w:val="clear" w:color="auto" w:fill="auto"/>
          <w:lang w:val="en-US" w:eastAsia="en-US" w:bidi="en-US"/>
        </w:rPr>
        <w:t xml:space="preserve">beck—that German manner </w:t>
      </w:r>
      <w:r>
        <w:rPr>
          <w:rFonts w:ascii="Times New Roman" w:eastAsia="Times New Roman" w:hAnsi="Times New Roman" w:cs="Times New Roman"/>
          <w:color w:val="000000"/>
          <w:spacing w:val="0"/>
          <w:w w:val="100"/>
          <w:position w:val="0"/>
          <w:shd w:val="clear" w:color="auto" w:fill="auto"/>
          <w:lang w:val="en-US" w:eastAsia="en-US" w:bidi="en-US"/>
        </w:rPr>
        <w:t xml:space="preserve">which was characteristic of many of </w:t>
      </w:r>
      <w:r>
        <w:rPr>
          <w:rFonts w:ascii="Times New Roman" w:eastAsia="Times New Roman" w:hAnsi="Times New Roman" w:cs="Times New Roman"/>
          <w:color w:val="000000"/>
          <w:spacing w:val="0"/>
          <w:w w:val="100"/>
          <w:position w:val="0"/>
          <w:shd w:val="clear" w:color="auto" w:fill="auto"/>
          <w:lang w:val="en-US" w:eastAsia="en-US" w:bidi="en-US"/>
        </w:rPr>
        <w:t xml:space="preserve">our finer draughtsmen upon wood at </w:t>
      </w:r>
      <w:r>
        <w:rPr>
          <w:rFonts w:ascii="Times New Roman" w:eastAsia="Times New Roman" w:hAnsi="Times New Roman" w:cs="Times New Roman"/>
          <w:color w:val="000000"/>
          <w:spacing w:val="0"/>
          <w:w w:val="100"/>
          <w:position w:val="0"/>
          <w:shd w:val="clear" w:color="auto" w:fill="auto"/>
          <w:lang w:val="en-US" w:eastAsia="en-US" w:bidi="en-US"/>
        </w:rPr>
        <w:t xml:space="preserve">the middle of the 19th century. But </w:t>
      </w:r>
      <w:r>
        <w:rPr>
          <w:rFonts w:ascii="Times New Roman" w:eastAsia="Times New Roman" w:hAnsi="Times New Roman" w:cs="Times New Roman"/>
          <w:color w:val="000000"/>
          <w:spacing w:val="0"/>
          <w:w w:val="100"/>
          <w:position w:val="0"/>
          <w:shd w:val="clear" w:color="auto" w:fill="auto"/>
          <w:lang w:val="en-US" w:eastAsia="en-US" w:bidi="en-US"/>
        </w:rPr>
        <w:t xml:space="preserve">Tenniel’s work is always </w:t>
      </w:r>
      <w:r>
        <w:rPr>
          <w:rFonts w:ascii="Times New Roman" w:eastAsia="Times New Roman" w:hAnsi="Times New Roman" w:cs="Times New Roman"/>
          <w:color w:val="000000"/>
          <w:spacing w:val="0"/>
          <w:w w:val="100"/>
          <w:position w:val="0"/>
          <w:shd w:val="clear" w:color="auto" w:fill="auto"/>
          <w:lang w:val="en-US" w:eastAsia="en-US" w:bidi="en-US"/>
        </w:rPr>
        <w:t xml:space="preserve">original, unforced and fresh; and </w:t>
      </w:r>
      <w:r>
        <w:rPr>
          <w:rFonts w:ascii="Times New Roman" w:eastAsia="Times New Roman" w:hAnsi="Times New Roman" w:cs="Times New Roman"/>
          <w:color w:val="000000"/>
          <w:spacing w:val="0"/>
          <w:w w:val="100"/>
          <w:position w:val="0"/>
          <w:shd w:val="clear" w:color="auto" w:fill="auto"/>
          <w:lang w:val="en-US" w:eastAsia="en-US" w:bidi="en-US"/>
        </w:rPr>
        <w:t xml:space="preserve">it never suggests, what is the fact, </w:t>
      </w:r>
      <w:r>
        <w:rPr>
          <w:rFonts w:ascii="Times New Roman" w:eastAsia="Times New Roman" w:hAnsi="Times New Roman" w:cs="Times New Roman"/>
          <w:color w:val="000000"/>
          <w:spacing w:val="0"/>
          <w:w w:val="100"/>
          <w:position w:val="0"/>
          <w:shd w:val="clear" w:color="auto" w:fill="auto"/>
          <w:lang w:val="en-US" w:eastAsia="en-US" w:bidi="en-US"/>
        </w:rPr>
        <w:t xml:space="preserve">that the artist’s work is drawn </w:t>
      </w:r>
      <w:r>
        <w:rPr>
          <w:rFonts w:ascii="Times New Roman" w:eastAsia="Times New Roman" w:hAnsi="Times New Roman" w:cs="Times New Roman"/>
          <w:color w:val="000000"/>
          <w:spacing w:val="0"/>
          <w:w w:val="100"/>
          <w:position w:val="0"/>
          <w:shd w:val="clear" w:color="auto" w:fill="auto"/>
          <w:lang w:val="en-US" w:eastAsia="en-US" w:bidi="en-US"/>
        </w:rPr>
        <w:t xml:space="preserve">exclusively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memory, and never from </w:t>
      </w:r>
      <w:r>
        <w:rPr>
          <w:rFonts w:ascii="Times New Roman" w:eastAsia="Times New Roman" w:hAnsi="Times New Roman" w:cs="Times New Roman"/>
          <w:color w:val="000000"/>
          <w:spacing w:val="0"/>
          <w:w w:val="100"/>
          <w:position w:val="0"/>
          <w:shd w:val="clear" w:color="auto" w:fill="auto"/>
          <w:lang w:val="en-US" w:eastAsia="en-US" w:bidi="en-US"/>
        </w:rPr>
        <w:t xml:space="preserve">the model. It may be </w:t>
      </w:r>
      <w:r>
        <w:rPr>
          <w:rFonts w:ascii="Times New Roman" w:eastAsia="Times New Roman" w:hAnsi="Times New Roman" w:cs="Times New Roman"/>
          <w:color w:val="000000"/>
          <w:spacing w:val="0"/>
          <w:w w:val="100"/>
          <w:position w:val="0"/>
          <w:shd w:val="clear" w:color="auto" w:fill="auto"/>
          <w:lang w:val="en-US" w:eastAsia="en-US" w:bidi="en-US"/>
        </w:rPr>
        <w:t xml:space="preserve">mentioned that Tenniel’s wonderful observation has been conducted, and his knowledge accumulated, literally through a single eye, the other having been lost during a fencing bout in his youth. It was in recognition not only of his ability as an artist in black and white, but of his service in infusing good humour and good taste into one phase of political life, that a knighthood was conferred upon him on Mr Gladstone's recommendation in 1893. Without pronounced political opinions of his own, Sir John Tenniel adopted in his work those of his paper, of which the Whig proclivities were to some degree softened by his pencil. The political history not of England only, but to some extent of the world, of half a century appears in Sir John Tenniel’s weekly cartoons, which are dignified by a number of types invented by the artist, the classic beauty of which may be looked for in vain in kindred work by any previous cartoonist. (Take, for example, Sir John's famous picture of “ Dropping the Pilot,” which appeared in </w:t>
      </w:r>
      <w:r>
        <w:rPr>
          <w:rFonts w:ascii="Times New Roman" w:eastAsia="Times New Roman" w:hAnsi="Times New Roman" w:cs="Times New Roman"/>
          <w:i/>
          <w:iCs/>
          <w:color w:val="000000"/>
          <w:spacing w:val="0"/>
          <w:w w:val="100"/>
          <w:position w:val="0"/>
          <w:shd w:val="clear" w:color="auto" w:fill="auto"/>
          <w:lang w:val="en-US" w:eastAsia="en-US" w:bidi="en-US"/>
        </w:rPr>
        <w:t>Punch</w:t>
      </w:r>
      <w:r>
        <w:rPr>
          <w:rFonts w:ascii="Times New Roman" w:eastAsia="Times New Roman" w:hAnsi="Times New Roman" w:cs="Times New Roman"/>
          <w:color w:val="000000"/>
          <w:spacing w:val="0"/>
          <w:w w:val="100"/>
          <w:position w:val="0"/>
          <w:shd w:val="clear" w:color="auto" w:fill="auto"/>
          <w:lang w:val="en-US" w:eastAsia="en-US" w:bidi="en-US"/>
        </w:rPr>
        <w:t xml:space="preserve"> on 20th March 1890, xcviii. 150-51.) Public exhibitions of Sir John Tenniel’s work were held in 1895 and in 1900. Sir John Tenniel is also the author of one of the mosaics, “ Leonardo da Vinci,” in the South Court in the Victoria and Albert Museum: while his highly stippled water-colour drawings appeared from time to time in the exhibitions of the Royal Institute of Painters in Water Colours, of which society he was elected a member in 1874. As an illustrator on the wood-block he stands very high; his “ Lalla Rookh ” is perhaps the finest of all his work in point of conception, refinement, power and technical excellence.</w:t>
      </w:r>
    </w:p>
    <w:p>
      <w:pPr>
        <w:pStyle w:val="Style3"/>
        <w:keepNext w:val="0"/>
        <w:keepLines w:val="0"/>
        <w:widowControl w:val="0"/>
        <w:shd w:val="clear" w:color="auto" w:fill="auto"/>
        <w:tabs>
          <w:tab w:pos="2040" w:val="left"/>
        </w:tabs>
        <w:bidi w:val="0"/>
        <w:spacing w:line="18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Works Illustrated.—</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hd w:val="clear" w:color="auto" w:fill="auto"/>
          <w:lang w:val="en-US" w:eastAsia="en-US" w:bidi="en-US"/>
        </w:rPr>
        <w:t xml:space="preserve">Juvenile Verse and Picture Book, </w:t>
      </w:r>
      <w:r>
        <w:rPr>
          <w:rFonts w:ascii="Times New Roman" w:eastAsia="Times New Roman" w:hAnsi="Times New Roman" w:cs="Times New Roman"/>
          <w:color w:val="000000"/>
          <w:spacing w:val="0"/>
          <w:w w:val="100"/>
          <w:position w:val="0"/>
          <w:shd w:val="clear" w:color="auto" w:fill="auto"/>
          <w:lang w:val="en-US" w:eastAsia="en-US" w:bidi="en-US"/>
        </w:rPr>
        <w:t xml:space="preserve">(1846); (2) </w:t>
      </w:r>
      <w:r>
        <w:rPr>
          <w:rFonts w:ascii="Times New Roman" w:eastAsia="Times New Roman" w:hAnsi="Times New Roman" w:cs="Times New Roman"/>
          <w:i/>
          <w:iCs/>
          <w:color w:val="000000"/>
          <w:spacing w:val="0"/>
          <w:w w:val="100"/>
          <w:position w:val="0"/>
          <w:shd w:val="clear" w:color="auto" w:fill="auto"/>
          <w:lang w:val="en-US" w:eastAsia="en-US" w:bidi="en-US"/>
        </w:rPr>
        <w:t>Undine</w:t>
      </w:r>
      <w:r>
        <w:rPr>
          <w:rFonts w:ascii="Times New Roman" w:eastAsia="Times New Roman" w:hAnsi="Times New Roman" w:cs="Times New Roman"/>
          <w:color w:val="000000"/>
          <w:spacing w:val="0"/>
          <w:w w:val="100"/>
          <w:position w:val="0"/>
          <w:shd w:val="clear" w:color="auto" w:fill="auto"/>
          <w:lang w:val="en-US" w:eastAsia="en-US" w:bidi="en-US"/>
        </w:rPr>
        <w:t xml:space="preserve"> (1846); (3) </w:t>
      </w:r>
      <w:r>
        <w:rPr>
          <w:rFonts w:ascii="Times New Roman" w:eastAsia="Times New Roman" w:hAnsi="Times New Roman" w:cs="Times New Roman"/>
          <w:i/>
          <w:iCs/>
          <w:color w:val="000000"/>
          <w:spacing w:val="0"/>
          <w:w w:val="100"/>
          <w:position w:val="0"/>
          <w:shd w:val="clear" w:color="auto" w:fill="auto"/>
          <w:lang w:val="en-US" w:eastAsia="en-US" w:bidi="en-US"/>
        </w:rPr>
        <w:t>Aesop's Fables,</w:t>
      </w:r>
      <w:r>
        <w:rPr>
          <w:rFonts w:ascii="Times New Roman" w:eastAsia="Times New Roman" w:hAnsi="Times New Roman" w:cs="Times New Roman"/>
          <w:color w:val="000000"/>
          <w:spacing w:val="0"/>
          <w:w w:val="100"/>
          <w:position w:val="0"/>
          <w:shd w:val="clear" w:color="auto" w:fill="auto"/>
          <w:lang w:val="en-US" w:eastAsia="en-US" w:bidi="en-US"/>
        </w:rPr>
        <w:t xml:space="preserve"> 100 drawings (1848); (4) Blair’s </w:t>
      </w:r>
      <w:r>
        <w:rPr>
          <w:rFonts w:ascii="Times New Roman" w:eastAsia="Times New Roman" w:hAnsi="Times New Roman" w:cs="Times New Roman"/>
          <w:i/>
          <w:iCs/>
          <w:color w:val="000000"/>
          <w:spacing w:val="0"/>
          <w:w w:val="100"/>
          <w:position w:val="0"/>
          <w:shd w:val="clear" w:color="auto" w:fill="auto"/>
          <w:lang w:val="en-US" w:eastAsia="en-US" w:bidi="en-US"/>
        </w:rPr>
        <w:t>Grave</w:t>
      </w:r>
      <w:r>
        <w:rPr>
          <w:rFonts w:ascii="Times New Roman" w:eastAsia="Times New Roman" w:hAnsi="Times New Roman" w:cs="Times New Roman"/>
          <w:color w:val="000000"/>
          <w:spacing w:val="0"/>
          <w:w w:val="100"/>
          <w:position w:val="0"/>
          <w:shd w:val="clear" w:color="auto" w:fill="auto"/>
          <w:lang w:val="en-US" w:eastAsia="en-US" w:bidi="en-US"/>
        </w:rPr>
        <w:t xml:space="preserve"> (1858);</w:t>
        <w:tab/>
        <w:t xml:space="preserve">(5) Shirley Brooks’s </w:t>
      </w:r>
      <w:r>
        <w:rPr>
          <w:rFonts w:ascii="Times New Roman" w:eastAsia="Times New Roman" w:hAnsi="Times New Roman" w:cs="Times New Roman"/>
          <w:i/>
          <w:iCs/>
          <w:color w:val="000000"/>
          <w:spacing w:val="0"/>
          <w:w w:val="100"/>
          <w:position w:val="0"/>
          <w:shd w:val="clear" w:color="auto" w:fill="auto"/>
          <w:lang w:val="en-US" w:eastAsia="en-US" w:bidi="en-US"/>
        </w:rPr>
        <w:t>The Gordian Knot</w:t>
      </w:r>
    </w:p>
    <w:p>
      <w:pPr>
        <w:pStyle w:val="Style3"/>
        <w:keepNext w:val="0"/>
        <w:keepLines w:val="0"/>
        <w:widowControl w:val="0"/>
        <w:shd w:val="clear" w:color="auto" w:fill="auto"/>
        <w:tabs>
          <w:tab w:pos="2837"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(i860), and (6) </w:t>
      </w:r>
      <w:r>
        <w:rPr>
          <w:rFonts w:ascii="Times New Roman" w:eastAsia="Times New Roman" w:hAnsi="Times New Roman" w:cs="Times New Roman"/>
          <w:i/>
          <w:iCs/>
          <w:color w:val="000000"/>
          <w:spacing w:val="0"/>
          <w:w w:val="100"/>
          <w:position w:val="0"/>
          <w:shd w:val="clear" w:color="auto" w:fill="auto"/>
          <w:lang w:val="en-US" w:eastAsia="en-US" w:bidi="en-US"/>
        </w:rPr>
        <w:t>The Silver Cord</w:t>
      </w:r>
      <w:r>
        <w:rPr>
          <w:rFonts w:ascii="Times New Roman" w:eastAsia="Times New Roman" w:hAnsi="Times New Roman" w:cs="Times New Roman"/>
          <w:color w:val="000000"/>
          <w:spacing w:val="0"/>
          <w:w w:val="100"/>
          <w:position w:val="0"/>
          <w:shd w:val="clear" w:color="auto" w:fill="auto"/>
          <w:lang w:val="en-US" w:eastAsia="en-US" w:bidi="en-US"/>
        </w:rPr>
        <w:t xml:space="preserve"> (1861); (7) Moore's </w:t>
      </w:r>
      <w:r>
        <w:rPr>
          <w:rFonts w:ascii="Times New Roman" w:eastAsia="Times New Roman" w:hAnsi="Times New Roman" w:cs="Times New Roman"/>
          <w:i/>
          <w:iCs/>
          <w:color w:val="000000"/>
          <w:spacing w:val="0"/>
          <w:w w:val="100"/>
          <w:position w:val="0"/>
          <w:shd w:val="clear" w:color="auto" w:fill="auto"/>
          <w:lang w:val="en-US" w:eastAsia="en-US" w:bidi="en-US"/>
        </w:rPr>
        <w:t>Lalla Rookh,</w:t>
      </w:r>
      <w:r>
        <w:rPr>
          <w:rFonts w:ascii="Times New Roman" w:eastAsia="Times New Roman" w:hAnsi="Times New Roman" w:cs="Times New Roman"/>
          <w:color w:val="000000"/>
          <w:spacing w:val="0"/>
          <w:w w:val="100"/>
          <w:position w:val="0"/>
          <w:shd w:val="clear" w:color="auto" w:fill="auto"/>
          <w:lang w:val="en-US" w:eastAsia="en-US" w:bidi="en-US"/>
        </w:rPr>
        <w:t xml:space="preserve"> 69 drawings (1861); (8) Lewis Carroll’s </w:t>
      </w:r>
      <w:r>
        <w:rPr>
          <w:rFonts w:ascii="Times New Roman" w:eastAsia="Times New Roman" w:hAnsi="Times New Roman" w:cs="Times New Roman"/>
          <w:i/>
          <w:iCs/>
          <w:color w:val="000000"/>
          <w:spacing w:val="0"/>
          <w:w w:val="100"/>
          <w:position w:val="0"/>
          <w:shd w:val="clear" w:color="auto" w:fill="auto"/>
          <w:lang w:val="en-US" w:eastAsia="en-US" w:bidi="en-US"/>
        </w:rPr>
        <w:t>Alice's Adventures in Wonder</w:t>
        <w:softHyphen/>
        <w:t>land</w:t>
      </w:r>
      <w:r>
        <w:rPr>
          <w:rFonts w:ascii="Times New Roman" w:eastAsia="Times New Roman" w:hAnsi="Times New Roman" w:cs="Times New Roman"/>
          <w:color w:val="000000"/>
          <w:spacing w:val="0"/>
          <w:w w:val="100"/>
          <w:position w:val="0"/>
          <w:shd w:val="clear" w:color="auto" w:fill="auto"/>
          <w:lang w:val="en-US" w:eastAsia="en-US" w:bidi="en-US"/>
        </w:rPr>
        <w:t xml:space="preserve"> (1866); (9) </w:t>
      </w:r>
      <w:r>
        <w:rPr>
          <w:rFonts w:ascii="Times New Roman" w:eastAsia="Times New Roman" w:hAnsi="Times New Roman" w:cs="Times New Roman"/>
          <w:i/>
          <w:iCs/>
          <w:color w:val="000000"/>
          <w:spacing w:val="0"/>
          <w:w w:val="100"/>
          <w:position w:val="0"/>
          <w:shd w:val="clear" w:color="auto" w:fill="auto"/>
          <w:lang w:val="en-US" w:eastAsia="en-US" w:bidi="en-US"/>
        </w:rPr>
        <w:t>The Mirage of Life,</w:t>
      </w:r>
      <w:r>
        <w:rPr>
          <w:rFonts w:ascii="Times New Roman" w:eastAsia="Times New Roman" w:hAnsi="Times New Roman" w:cs="Times New Roman"/>
          <w:color w:val="000000"/>
          <w:spacing w:val="0"/>
          <w:w w:val="100"/>
          <w:position w:val="0"/>
          <w:shd w:val="clear" w:color="auto" w:fill="auto"/>
          <w:lang w:val="en-US" w:eastAsia="en-US" w:bidi="en-US"/>
        </w:rPr>
        <w:t xml:space="preserve"> 1867; (10) Carroll’s </w:t>
      </w:r>
      <w:r>
        <w:rPr>
          <w:rFonts w:ascii="Times New Roman" w:eastAsia="Times New Roman" w:hAnsi="Times New Roman" w:cs="Times New Roman"/>
          <w:i/>
          <w:iCs/>
          <w:color w:val="000000"/>
          <w:spacing w:val="0"/>
          <w:w w:val="100"/>
          <w:position w:val="0"/>
          <w:shd w:val="clear" w:color="auto" w:fill="auto"/>
          <w:lang w:val="en-US" w:eastAsia="en-US" w:bidi="en-US"/>
        </w:rPr>
        <w:t>Through the Looking-Glass</w:t>
      </w:r>
      <w:r>
        <w:rPr>
          <w:rFonts w:ascii="Times New Roman" w:eastAsia="Times New Roman" w:hAnsi="Times New Roman" w:cs="Times New Roman"/>
          <w:color w:val="000000"/>
          <w:spacing w:val="0"/>
          <w:w w:val="100"/>
          <w:position w:val="0"/>
          <w:shd w:val="clear" w:color="auto" w:fill="auto"/>
          <w:lang w:val="en-US" w:eastAsia="en-US" w:bidi="en-US"/>
        </w:rPr>
        <w:t xml:space="preserve"> (1870); and the following in collaboration: (11) Pollok's </w:t>
      </w:r>
      <w:r>
        <w:rPr>
          <w:rFonts w:ascii="Times New Roman" w:eastAsia="Times New Roman" w:hAnsi="Times New Roman" w:cs="Times New Roman"/>
          <w:i/>
          <w:iCs/>
          <w:color w:val="000000"/>
          <w:spacing w:val="0"/>
          <w:w w:val="100"/>
          <w:position w:val="0"/>
          <w:shd w:val="clear" w:color="auto" w:fill="auto"/>
          <w:lang w:val="en-US" w:eastAsia="en-US" w:bidi="en-US"/>
        </w:rPr>
        <w:t>Course of Time</w:t>
      </w:r>
      <w:r>
        <w:rPr>
          <w:rFonts w:ascii="Times New Roman" w:eastAsia="Times New Roman" w:hAnsi="Times New Roman" w:cs="Times New Roman"/>
          <w:color w:val="000000"/>
          <w:spacing w:val="0"/>
          <w:w w:val="100"/>
          <w:position w:val="0"/>
          <w:shd w:val="clear" w:color="auto" w:fill="auto"/>
          <w:lang w:val="en-US" w:eastAsia="en-US" w:bidi="en-US"/>
        </w:rPr>
        <w:t xml:space="preserve"> (1857); (12)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Poets of the Nineteenth Century </w:t>
      </w:r>
      <w:r>
        <w:rPr>
          <w:rFonts w:ascii="Times New Roman" w:eastAsia="Times New Roman" w:hAnsi="Times New Roman" w:cs="Times New Roman"/>
          <w:color w:val="000000"/>
          <w:spacing w:val="0"/>
          <w:w w:val="100"/>
          <w:position w:val="0"/>
          <w:shd w:val="clear" w:color="auto" w:fill="auto"/>
          <w:lang w:val="en-US" w:eastAsia="en-US" w:bidi="en-US"/>
        </w:rPr>
        <w:t>(1857); (13) Poe’s Works (1857);</w:t>
        <w:tab/>
        <w:t xml:space="preserve">(14) </w:t>
      </w:r>
      <w:r>
        <w:rPr>
          <w:rFonts w:ascii="Times New Roman" w:eastAsia="Times New Roman" w:hAnsi="Times New Roman" w:cs="Times New Roman"/>
          <w:i/>
          <w:iCs/>
          <w:color w:val="000000"/>
          <w:spacing w:val="0"/>
          <w:w w:val="100"/>
          <w:position w:val="0"/>
          <w:shd w:val="clear" w:color="auto" w:fill="auto"/>
          <w:lang w:val="en-US" w:eastAsia="en-US" w:bidi="en-US"/>
        </w:rPr>
        <w:t>Home Affections</w:t>
      </w:r>
      <w:r>
        <w:rPr>
          <w:rFonts w:ascii="Times New Roman" w:eastAsia="Times New Roman" w:hAnsi="Times New Roman" w:cs="Times New Roman"/>
          <w:color w:val="000000"/>
          <w:spacing w:val="0"/>
          <w:w w:val="100"/>
          <w:position w:val="0"/>
          <w:shd w:val="clear" w:color="auto" w:fill="auto"/>
          <w:lang w:val="en-US" w:eastAsia="en-US" w:bidi="en-US"/>
        </w:rPr>
        <w:t xml:space="preserve"> (1858);</w:t>
      </w:r>
    </w:p>
    <w:p>
      <w:pPr>
        <w:pStyle w:val="Style3"/>
        <w:keepNext w:val="0"/>
        <w:keepLines w:val="0"/>
        <w:widowControl w:val="0"/>
        <w:shd w:val="clear" w:color="auto" w:fill="auto"/>
        <w:tabs>
          <w:tab w:pos="4368"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(15) Cholmondeley Pennell’s </w:t>
      </w:r>
      <w:r>
        <w:rPr>
          <w:rFonts w:ascii="Times New Roman" w:eastAsia="Times New Roman" w:hAnsi="Times New Roman" w:cs="Times New Roman"/>
          <w:i/>
          <w:iCs/>
          <w:color w:val="000000"/>
          <w:spacing w:val="0"/>
          <w:w w:val="100"/>
          <w:position w:val="0"/>
          <w:shd w:val="clear" w:color="auto" w:fill="auto"/>
          <w:lang w:val="en-US" w:eastAsia="en-US" w:bidi="en-US"/>
        </w:rPr>
        <w:t>Puck on Pegasus</w:t>
      </w:r>
      <w:r>
        <w:rPr>
          <w:rFonts w:ascii="Times New Roman" w:eastAsia="Times New Roman" w:hAnsi="Times New Roman" w:cs="Times New Roman"/>
          <w:color w:val="000000"/>
          <w:spacing w:val="0"/>
          <w:w w:val="100"/>
          <w:position w:val="0"/>
          <w:shd w:val="clear" w:color="auto" w:fill="auto"/>
          <w:lang w:val="en-US" w:eastAsia="en-US" w:bidi="en-US"/>
        </w:rPr>
        <w:t xml:space="preserve"> (1863);</w:t>
        <w:tab/>
        <w:t xml:space="preserve">(16) </w:t>
      </w:r>
      <w:r>
        <w:rPr>
          <w:rFonts w:ascii="Times New Roman" w:eastAsia="Times New Roman" w:hAnsi="Times New Roman" w:cs="Times New Roman"/>
          <w:i/>
          <w:iCs/>
          <w:color w:val="000000"/>
          <w:spacing w:val="0"/>
          <w:w w:val="100"/>
          <w:position w:val="0"/>
          <w:shd w:val="clear" w:color="auto" w:fill="auto"/>
          <w:lang w:val="en-US" w:eastAsia="en-US" w:bidi="en-US"/>
        </w:rPr>
        <w:t>The</w:t>
      </w:r>
    </w:p>
    <w:p>
      <w:pPr>
        <w:pStyle w:val="Style3"/>
        <w:keepNext w:val="0"/>
        <w:keepLines w:val="0"/>
        <w:widowControl w:val="0"/>
        <w:shd w:val="clear" w:color="auto" w:fill="auto"/>
        <w:tabs>
          <w:tab w:pos="2285" w:val="left"/>
        </w:tabs>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Arabian Nights</w:t>
      </w:r>
      <w:r>
        <w:rPr>
          <w:rFonts w:ascii="Times New Roman" w:eastAsia="Times New Roman" w:hAnsi="Times New Roman" w:cs="Times New Roman"/>
          <w:color w:val="000000"/>
          <w:spacing w:val="0"/>
          <w:w w:val="100"/>
          <w:position w:val="0"/>
          <w:shd w:val="clear" w:color="auto" w:fill="auto"/>
          <w:lang w:val="en-US" w:eastAsia="en-US" w:bidi="en-US"/>
        </w:rPr>
        <w:t xml:space="preserve"> (1863); (17) </w:t>
      </w:r>
      <w:r>
        <w:rPr>
          <w:rFonts w:ascii="Times New Roman" w:eastAsia="Times New Roman" w:hAnsi="Times New Roman" w:cs="Times New Roman"/>
          <w:i/>
          <w:iCs/>
          <w:color w:val="000000"/>
          <w:spacing w:val="0"/>
          <w:w w:val="100"/>
          <w:position w:val="0"/>
          <w:shd w:val="clear" w:color="auto" w:fill="auto"/>
          <w:lang w:val="en-US" w:eastAsia="en-US" w:bidi="en-US"/>
        </w:rPr>
        <w:t>English Sacred Poetry</w:t>
      </w:r>
      <w:r>
        <w:rPr>
          <w:rFonts w:ascii="Times New Roman" w:eastAsia="Times New Roman" w:hAnsi="Times New Roman" w:cs="Times New Roman"/>
          <w:color w:val="000000"/>
          <w:spacing w:val="0"/>
          <w:w w:val="100"/>
          <w:position w:val="0"/>
          <w:shd w:val="clear" w:color="auto" w:fill="auto"/>
          <w:lang w:val="en-US" w:eastAsia="en-US" w:bidi="en-US"/>
        </w:rPr>
        <w:t xml:space="preserve"> (1864); (18) </w:t>
      </w:r>
      <w:r>
        <w:rPr>
          <w:rFonts w:ascii="Times New Roman" w:eastAsia="Times New Roman" w:hAnsi="Times New Roman" w:cs="Times New Roman"/>
          <w:i/>
          <w:iCs/>
          <w:color w:val="000000"/>
          <w:spacing w:val="0"/>
          <w:w w:val="100"/>
          <w:position w:val="0"/>
          <w:shd w:val="clear" w:color="auto" w:fill="auto"/>
          <w:lang w:val="en-US" w:eastAsia="en-US" w:bidi="en-US"/>
        </w:rPr>
        <w:t>Legends and Lyrics</w:t>
      </w:r>
      <w:r>
        <w:rPr>
          <w:rFonts w:ascii="Times New Roman" w:eastAsia="Times New Roman" w:hAnsi="Times New Roman" w:cs="Times New Roman"/>
          <w:color w:val="000000"/>
          <w:spacing w:val="0"/>
          <w:w w:val="100"/>
          <w:position w:val="0"/>
          <w:shd w:val="clear" w:color="auto" w:fill="auto"/>
          <w:lang w:val="en-US" w:eastAsia="en-US" w:bidi="en-US"/>
        </w:rPr>
        <w:t xml:space="preserve"> (1865);</w:t>
        <w:tab/>
        <w:t xml:space="preserve">(19) Tupper’s </w:t>
      </w:r>
      <w:r>
        <w:rPr>
          <w:rFonts w:ascii="Times New Roman" w:eastAsia="Times New Roman" w:hAnsi="Times New Roman" w:cs="Times New Roman"/>
          <w:i/>
          <w:iCs/>
          <w:color w:val="000000"/>
          <w:spacing w:val="0"/>
          <w:w w:val="100"/>
          <w:position w:val="0"/>
          <w:shd w:val="clear" w:color="auto" w:fill="auto"/>
          <w:lang w:val="en-US" w:eastAsia="en-US" w:bidi="en-US"/>
        </w:rPr>
        <w:t>Proverbial Philosophy;</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(20) Barry Cornwall's </w:t>
      </w:r>
      <w:r>
        <w:rPr>
          <w:rFonts w:ascii="Times New Roman" w:eastAsia="Times New Roman" w:hAnsi="Times New Roman" w:cs="Times New Roman"/>
          <w:i/>
          <w:iCs/>
          <w:color w:val="000000"/>
          <w:spacing w:val="0"/>
          <w:w w:val="100"/>
          <w:position w:val="0"/>
          <w:shd w:val="clear" w:color="auto" w:fill="auto"/>
          <w:lang w:val="en-US" w:eastAsia="en-US" w:bidi="en-US"/>
        </w:rPr>
        <w:t>Poems,</w:t>
      </w:r>
      <w:r>
        <w:rPr>
          <w:rFonts w:ascii="Times New Roman" w:eastAsia="Times New Roman" w:hAnsi="Times New Roman" w:cs="Times New Roman"/>
          <w:color w:val="000000"/>
          <w:spacing w:val="0"/>
          <w:w w:val="100"/>
          <w:position w:val="0"/>
          <w:shd w:val="clear" w:color="auto" w:fill="auto"/>
          <w:lang w:val="en-US" w:eastAsia="en-US" w:bidi="en-US"/>
        </w:rPr>
        <w:t xml:space="preserve"> and other books. He also contributed to </w:t>
      </w:r>
      <w:r>
        <w:rPr>
          <w:rFonts w:ascii="Times New Roman" w:eastAsia="Times New Roman" w:hAnsi="Times New Roman" w:cs="Times New Roman"/>
          <w:i/>
          <w:iCs/>
          <w:color w:val="000000"/>
          <w:spacing w:val="0"/>
          <w:w w:val="100"/>
          <w:position w:val="0"/>
          <w:shd w:val="clear" w:color="auto" w:fill="auto"/>
          <w:lang w:val="en-US" w:eastAsia="en-US" w:bidi="en-US"/>
        </w:rPr>
        <w:t>Once a Week,</w:t>
      </w:r>
      <w:r>
        <w:rPr>
          <w:rFonts w:ascii="Times New Roman" w:eastAsia="Times New Roman" w:hAnsi="Times New Roman" w:cs="Times New Roman"/>
          <w:color w:val="000000"/>
          <w:spacing w:val="0"/>
          <w:w w:val="100"/>
          <w:position w:val="0"/>
          <w:shd w:val="clear" w:color="auto" w:fill="auto"/>
          <w:lang w:val="en-US" w:eastAsia="en-US" w:bidi="en-US"/>
        </w:rPr>
        <w:t xml:space="preserve"> the Art Union publications, &amp;c.</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TENNIS </w:t>
      </w:r>
      <w:r>
        <w:rPr>
          <w:rFonts w:ascii="Times New Roman" w:eastAsia="Times New Roman" w:hAnsi="Times New Roman" w:cs="Times New Roman"/>
          <w:color w:val="000000"/>
          <w:spacing w:val="0"/>
          <w:w w:val="100"/>
          <w:position w:val="0"/>
          <w:shd w:val="clear" w:color="auto" w:fill="auto"/>
          <w:lang w:val="en-US" w:eastAsia="en-US" w:bidi="en-US"/>
        </w:rPr>
        <w:t xml:space="preserve">(sometimes called royal tennis, and, in America, court tennis), one of the oldest of ball-games, and one of the most difficult to learn. It is now played in a walled and roofed court, no ft. by 38 ft. 8 in., the floor, however, measuring but 96 ft. by 31 ft. 8 in., the difference being the width of a roofed corridor, the “ penthouse,” which runs along the two end walls and one of the side walls. Across the middle of the court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net is stretched, and the first object of the game is to strike the ball over this with a bat or racquet. The net is 5 ft. high at the ends, 3 ft. 6 in. at the middle, and divides the floor into two equal parts, the "service ” side and the “ hazard ” side. The floor and walls are made of cement and should be smooth but not polished.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court is lighted from the roof and sides. The height of the court to the tie-beam is 30 ft., the height of the play-line, above which the ball must not go, 18 ft. at the sides and 23 ft. at the ends. The roof of the penthouse, which is made of wood, slopes downwards towards the court, the lower edge being 7 ft. 1</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in. from the floor, the upper 10 ft. 7 in., the width 7 ft. The illustrations show that each of the walls has its own peculiarities. The “ dedans ” is an opening in the end wall on the service side, under the penthouse, where provision is made for spectators, who are protected by a net. It is 21 ft. 8 in. in width; the upper edge is 6 ft. 10 in. from the floor, the lower edge 3 ft. 3 in. The opening of the dedans is 4 ft. 6 in. from the main wall, 5 ft. 6 in. from the other side wall. Looking from the dedans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from the service side), the right-hand or main wall has one peculiarity, the “ tambour,” a sloping buttress to form which the wall is built inward, reducing the breadth of that part of the court to 30 ft. 2 in. In the right-hand corner of the hazard side end wall (as viewed from the dedans) is the “ grille," an opening lined with wood, 3 ft. 1 in. square; and on this wall is painted a continuation of the "pass-line.” The left-hand wall, along which runs the pent-house, is not continuous, being broken by a long open</w:t>
        <w:softHyphen/>
        <w:t>ing between the floor and the penthouse similar to the dedans, and at the same height from the ground. The low walls under this opening and the dedans are called the “ batteries.” There is no wall in front of the “ marker’s box,” through which the court is entered on either side of the net-post. This long opening in the left-hand wall is divided into “ galleries ” and “ doors,” the latter situated where the entrances to the court used to be in early times. The measurements in order from the dedans are as follows, the numbers of the galleries being counted from the net : Service side—last gallery', 9 ft. 6 in. ; second gallery, 9 ft. 6 in. ; door, 3 ft. 6 in. ; first gallery, 5 ft. 8 in. ; marker’s box or line-opening, 7 ft. 10 in. ; hazard side first gallery, 5 ft. 8 in. ; door, 3 ft. 6 in. ; second gallery, 9 ft. 6 in. :</w:t>
      </w:r>
    </w:p>
    <w:sectPr>
      <w:footnotePr>
        <w:pos w:val="pageBottom"/>
        <w:numFmt w:val="decimal"/>
        <w:numRestart w:val="continuous"/>
      </w:footnotePr>
      <w:pgSz w:w="12240" w:h="15840"/>
      <w:pgMar w:top="970" w:left="750" w:right="70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