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ship-money, as compared with £70 contributed by Faversham, and </w:t>
      </w:r>
      <w:r>
        <w:rPr>
          <w:rFonts w:ascii="Times New Roman" w:eastAsia="Times New Roman" w:hAnsi="Times New Roman" w:cs="Times New Roman"/>
          <w:i/>
          <w:iCs/>
          <w:color w:val="000000"/>
          <w:spacing w:val="0"/>
          <w:w w:val="100"/>
          <w:position w:val="0"/>
          <w:shd w:val="clear" w:color="auto" w:fill="auto"/>
          <w:lang w:val="en-US" w:eastAsia="en-US" w:bidi="en-US"/>
        </w:rPr>
        <w:t>£60</w:t>
      </w:r>
      <w:r>
        <w:rPr>
          <w:rFonts w:ascii="Times New Roman" w:eastAsia="Times New Roman" w:hAnsi="Times New Roman" w:cs="Times New Roman"/>
          <w:color w:val="000000"/>
          <w:spacing w:val="0"/>
          <w:w w:val="100"/>
          <w:position w:val="0"/>
          <w:shd w:val="clear" w:color="auto" w:fill="auto"/>
          <w:lang w:val="en-US" w:eastAsia="en-US" w:bidi="en-US"/>
        </w:rPr>
        <w:t xml:space="preserve"> by Hythe. Under Edward III. several refugee Flemings settled in the town and established the woollen manufacture. An old waste book, still preserved, contains entries of amounts of cloth sent from Tenterden to London. By 1835 this trade had completely died out, and Tenterden was suffering from the depression of agricultural interests.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TENURE (Fr. </w:t>
      </w:r>
      <w:r>
        <w:rPr>
          <w:rFonts w:ascii="Times New Roman" w:eastAsia="Times New Roman" w:hAnsi="Times New Roman" w:cs="Times New Roman"/>
          <w:i/>
          <w:iCs/>
          <w:color w:val="000000"/>
          <w:spacing w:val="0"/>
          <w:w w:val="100"/>
          <w:position w:val="0"/>
          <w:shd w:val="clear" w:color="auto" w:fill="auto"/>
          <w:lang w:val="en-US" w:eastAsia="en-US" w:bidi="en-US"/>
        </w:rPr>
        <w:t>tenure,</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de-DE" w:eastAsia="de-DE" w:bidi="de-DE"/>
        </w:rPr>
        <w:t>tenere,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hold), in law, the holding or possession of land. The holding of land in England was originally either </w:t>
      </w:r>
      <w:r>
        <w:rPr>
          <w:rFonts w:ascii="Times New Roman" w:eastAsia="Times New Roman" w:hAnsi="Times New Roman" w:cs="Times New Roman"/>
          <w:i/>
          <w:iCs/>
          <w:color w:val="000000"/>
          <w:spacing w:val="0"/>
          <w:w w:val="100"/>
          <w:position w:val="0"/>
          <w:shd w:val="clear" w:color="auto" w:fill="auto"/>
          <w:lang w:val="en-US" w:eastAsia="en-US" w:bidi="en-US"/>
        </w:rPr>
        <w:t>allodial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feudal.</w:t>
      </w:r>
      <w:r>
        <w:rPr>
          <w:rFonts w:ascii="Times New Roman" w:eastAsia="Times New Roman" w:hAnsi="Times New Roman" w:cs="Times New Roman"/>
          <w:color w:val="000000"/>
          <w:spacing w:val="0"/>
          <w:w w:val="100"/>
          <w:position w:val="0"/>
          <w:shd w:val="clear" w:color="auto" w:fill="auto"/>
          <w:lang w:val="en-US" w:eastAsia="en-US" w:bidi="en-US"/>
        </w:rPr>
        <w:t xml:space="preserve"> Allodial land was land held not of a superior lord, but of the king and people. Such ownership was absolute. It possibly took its origin from the view that the land was the possession of the clan; that the chief was the leader but not the owner, and was no doubt strengthened by the temporary and partial occupation by the Romans. Their withdrawal, followed by the Saxon invasion, tended, without doubt, to re-establish the principle of common village ownership which formed the basis of both Celtic and German tenure. In the later Saxon period, however, private ownership became gradually more extended. Then the feudal idea began to make progress in England, much as it did about the same time on the continent of Europe, and it received a great impetus from the Norman conquest. When English law began to settle down into a system, the principle of feudalism was taken as the basis, and it gradually became the undisputed maxim of English law that the sovereign was the supreme lord of all the land and that every one held under him as tenant, that there was no such thing as an absolute private right of property in land, but that the state alone as personified by the sovereign was vested with that right, and conceded to the individual possessor only a strictly defined subordinate right, subject to conditions from time to time enacted by the com</w:t>
        <w:softHyphen/>
        <w:t xml:space="preserve">munity (see also </w:t>
      </w:r>
      <w:r>
        <w:rPr>
          <w:rFonts w:ascii="Times New Roman" w:eastAsia="Times New Roman" w:hAnsi="Times New Roman" w:cs="Times New Roman"/>
          <w:smallCaps/>
          <w:color w:val="000000"/>
          <w:spacing w:val="0"/>
          <w:w w:val="100"/>
          <w:position w:val="0"/>
          <w:shd w:val="clear" w:color="auto" w:fill="auto"/>
          <w:lang w:val="en-US" w:eastAsia="en-US" w:bidi="en-US"/>
        </w:rPr>
        <w:t>Feudalism).</w:t>
      </w:r>
      <w:r>
        <w:rPr>
          <w:rFonts w:ascii="Times New Roman" w:eastAsia="Times New Roman" w:hAnsi="Times New Roman" w:cs="Times New Roman"/>
          <w:color w:val="000000"/>
          <w:spacing w:val="0"/>
          <w:w w:val="100"/>
          <w:position w:val="0"/>
          <w:shd w:val="clear" w:color="auto" w:fill="auto"/>
          <w:lang w:val="en-US" w:eastAsia="en-US" w:bidi="en-US"/>
        </w:rPr>
        <w:t xml:space="preserve"> Feudal tenure was divided into free and non-free. Free tenures were frankalmoign, knight service, serjeanty and free socage. These tenures are dealt with under their separate headings. Base or non-free tenure was tenure in villenage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copyhold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see also </w:t>
      </w:r>
      <w:r>
        <w:rPr>
          <w:rFonts w:ascii="Times New Roman" w:eastAsia="Times New Roman" w:hAnsi="Times New Roman" w:cs="Times New Roman"/>
          <w:smallCaps/>
          <w:color w:val="000000"/>
          <w:spacing w:val="0"/>
          <w:w w:val="100"/>
          <w:position w:val="0"/>
          <w:shd w:val="clear" w:color="auto" w:fill="auto"/>
          <w:lang w:val="en-US" w:eastAsia="en-US" w:bidi="en-US"/>
        </w:rPr>
        <w:t>Manor.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TEPIC, </w:t>
      </w:r>
      <w:r>
        <w:rPr>
          <w:rFonts w:ascii="Times New Roman" w:eastAsia="Times New Roman" w:hAnsi="Times New Roman" w:cs="Times New Roman"/>
          <w:color w:val="000000"/>
          <w:spacing w:val="0"/>
          <w:w w:val="100"/>
          <w:position w:val="0"/>
          <w:shd w:val="clear" w:color="auto" w:fill="auto"/>
          <w:lang w:val="en-US" w:eastAsia="en-US" w:bidi="en-US"/>
        </w:rPr>
        <w:t>a territory of Mexico facing on the Pacific Ocean and bounded N., E. and S. by Sinaloa, Durango and Jalisco. Area 11,275 sq. m. Pop. (1900) 150,098. The active volcano of Ceboruco rises in the western part of the territory. The slopes and valleys are densely wooded, the lower regions being very fertile and adapted to tropical agriculture. The rainfall is abundant, and the climate hot, damp and malarial. The Rio Grande de Lerma, or Santiago, is the principal river, whose sources are to be found on the high plateau in the state of Mexico. The next largest river is the Mezquital, which has its sources in the state of Durango, not far from the city of that name. The products of the territorial coast lands are sugar, cotton, tobacco, maize, palm oil, coffee, fine woods and medi</w:t>
        <w:softHyphen/>
        <w:t>cinal plants. Mining attracts much attention in the sierras, and its mineral deposits are rich. There are cotton and cigarette factories at the town of Tepic, besides sugar works and dis</w:t>
        <w:softHyphen/>
        <w:t>tilleries on the plantations. The capital of the territory is Tepic (pop. 1900, 15,488), attractively situated on a small plateau 2950 ft. above sea level, 26 m. E. by S. of its port, San Blas, with which it is connected by rail.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territory of Tepic was detached from the State of Jalisco in 1889 on account of the belligerent attitude of its population, chiefly composed of Indians. A territorial form of government places it more directly under the control of the national executive.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TEPIDARIUM, </w:t>
      </w:r>
      <w:r>
        <w:rPr>
          <w:rFonts w:ascii="Times New Roman" w:eastAsia="Times New Roman" w:hAnsi="Times New Roman" w:cs="Times New Roman"/>
          <w:color w:val="000000"/>
          <w:spacing w:val="0"/>
          <w:w w:val="100"/>
          <w:position w:val="0"/>
          <w:shd w:val="clear" w:color="auto" w:fill="auto"/>
          <w:lang w:val="en-US" w:eastAsia="en-US" w:bidi="en-US"/>
        </w:rPr>
        <w:t xml:space="preserve">the term given to the warm </w:t>
      </w:r>
      <w:r>
        <w:rPr>
          <w:rFonts w:ascii="Times New Roman" w:eastAsia="Times New Roman" w:hAnsi="Times New Roman" w:cs="Times New Roman"/>
          <w:i/>
          <w:iCs/>
          <w:color w:val="000000"/>
          <w:spacing w:val="0"/>
          <w:w w:val="100"/>
          <w:position w:val="0"/>
          <w:shd w:val="clear" w:color="auto" w:fill="auto"/>
          <w:lang w:val="en-US" w:eastAsia="en-US" w:bidi="en-US"/>
        </w:rPr>
        <w:t>(tepidus)</w:t>
      </w:r>
      <w:r>
        <w:rPr>
          <w:rFonts w:ascii="Times New Roman" w:eastAsia="Times New Roman" w:hAnsi="Times New Roman" w:cs="Times New Roman"/>
          <w:color w:val="000000"/>
          <w:spacing w:val="0"/>
          <w:w w:val="100"/>
          <w:position w:val="0"/>
          <w:shd w:val="clear" w:color="auto" w:fill="auto"/>
          <w:lang w:val="en-US" w:eastAsia="en-US" w:bidi="en-US"/>
        </w:rPr>
        <w:t xml:space="preserve"> bath</w:t>
        <w:softHyphen/>
        <w:t xml:space="preserve">room of the Roman baths. There is an interesting example at Pompeii; this was covered with a semicircular barrel vault, decorated with reliefs in stucco, and round the room a series of square recesses or niches divided from one another by Telamones. The </w:t>
      </w:r>
      <w:r>
        <w:rPr>
          <w:rFonts w:ascii="Times New Roman" w:eastAsia="Times New Roman" w:hAnsi="Times New Roman" w:cs="Times New Roman"/>
          <w:color w:val="000000"/>
          <w:spacing w:val="0"/>
          <w:w w:val="100"/>
          <w:position w:val="0"/>
          <w:shd w:val="clear" w:color="auto" w:fill="auto"/>
          <w:lang w:val="fr-FR" w:eastAsia="fr-FR" w:bidi="fr-FR"/>
        </w:rPr>
        <w:t xml:space="preserve">tepidarium </w:t>
      </w:r>
      <w:r>
        <w:rPr>
          <w:rFonts w:ascii="Times New Roman" w:eastAsia="Times New Roman" w:hAnsi="Times New Roman" w:cs="Times New Roman"/>
          <w:color w:val="000000"/>
          <w:spacing w:val="0"/>
          <w:w w:val="100"/>
          <w:position w:val="0"/>
          <w:shd w:val="clear" w:color="auto" w:fill="auto"/>
          <w:lang w:val="en-US" w:eastAsia="en-US" w:bidi="en-US"/>
        </w:rPr>
        <w:t xml:space="preserve">in the Roman thermae was the great central hall round which all the other halls were grouped, and which gave the key to the plans of the thermae: it was probably the hall where the bathers first assembled prior to taking the cold bath or passing through the various hot baths, </w:t>
      </w:r>
      <w:r>
        <w:rPr>
          <w:rFonts w:ascii="Times New Roman" w:eastAsia="Times New Roman" w:hAnsi="Times New Roman" w:cs="Times New Roman"/>
          <w:color w:val="000000"/>
          <w:spacing w:val="0"/>
          <w:w w:val="100"/>
          <w:position w:val="0"/>
          <w:shd w:val="clear" w:color="auto" w:fill="auto"/>
          <w:lang w:val="en-US" w:eastAsia="en-US" w:bidi="en-US"/>
        </w:rPr>
        <w:t>and was decorated with the richest marbles and mosaics: it received its light through clerestory windows, on the sides, the front and the rear, and would seem to have been the hall in which the finest treasures of art were placed; thus in the thermae of Caracalla, the Farnese Hercules, and the Toro Farnese, the two gladiators, the sarcophagi of green basalt now in the Vatican, and numerous other treasures, were found during the excavations by Paul III. in 1546, and transported to the Vatican and the museum at Naples.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TEPLITZ </w:t>
      </w:r>
      <w:r>
        <w:rPr>
          <w:rFonts w:ascii="Times New Roman" w:eastAsia="Times New Roman" w:hAnsi="Times New Roman" w:cs="Times New Roman"/>
          <w:color w:val="000000"/>
          <w:spacing w:val="0"/>
          <w:w w:val="100"/>
          <w:position w:val="0"/>
          <w:shd w:val="clear" w:color="auto" w:fill="auto"/>
          <w:lang w:val="en-US" w:eastAsia="en-US" w:bidi="en-US"/>
        </w:rPr>
        <w:t xml:space="preserve">(Czech, </w:t>
      </w:r>
      <w:r>
        <w:rPr>
          <w:rFonts w:ascii="Times New Roman" w:eastAsia="Times New Roman" w:hAnsi="Times New Roman" w:cs="Times New Roman"/>
          <w:i/>
          <w:iCs/>
          <w:color w:val="000000"/>
          <w:spacing w:val="0"/>
          <w:w w:val="100"/>
          <w:position w:val="0"/>
          <w:shd w:val="clear" w:color="auto" w:fill="auto"/>
          <w:lang w:val="en-US" w:eastAsia="en-US" w:bidi="en-US"/>
        </w:rPr>
        <w:t>Teplice),</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Teplitz-Schönau,</w:t>
      </w:r>
      <w:r>
        <w:rPr>
          <w:rFonts w:ascii="Times New Roman" w:eastAsia="Times New Roman" w:hAnsi="Times New Roman" w:cs="Times New Roman"/>
          <w:color w:val="000000"/>
          <w:spacing w:val="0"/>
          <w:w w:val="100"/>
          <w:position w:val="0"/>
          <w:shd w:val="clear" w:color="auto" w:fill="auto"/>
          <w:lang w:val="en-US" w:eastAsia="en-US" w:bidi="en-US"/>
        </w:rPr>
        <w:t xml:space="preserve"> as it is officially called since the incorporation of the village of Schönau in 1895, a town of Bohemia, Austria, 80 m. N.N.W. of Prague by rail. Pop. (1900) 24,420. It is picturesquely situated in the plain of the Biela, which separates the Erzgebirge from the Bohemian </w:t>
      </w:r>
      <w:r>
        <w:rPr>
          <w:rFonts w:ascii="Times New Roman" w:eastAsia="Times New Roman" w:hAnsi="Times New Roman" w:cs="Times New Roman"/>
          <w:color w:val="000000"/>
          <w:spacing w:val="0"/>
          <w:w w:val="100"/>
          <w:position w:val="0"/>
          <w:shd w:val="clear" w:color="auto" w:fill="auto"/>
          <w:lang w:val="de-DE" w:eastAsia="de-DE" w:bidi="de-DE"/>
        </w:rPr>
        <w:t xml:space="preserve">Mittelgebirge, </w:t>
      </w:r>
      <w:r>
        <w:rPr>
          <w:rFonts w:ascii="Times New Roman" w:eastAsia="Times New Roman" w:hAnsi="Times New Roman" w:cs="Times New Roman"/>
          <w:color w:val="000000"/>
          <w:spacing w:val="0"/>
          <w:w w:val="100"/>
          <w:position w:val="0"/>
          <w:shd w:val="clear" w:color="auto" w:fill="auto"/>
          <w:lang w:val="en-US" w:eastAsia="en-US" w:bidi="en-US"/>
        </w:rPr>
        <w:t xml:space="preserve">and is a favourite watering-place, containing a large </w:t>
      </w:r>
      <w:r>
        <w:rPr>
          <w:rFonts w:ascii="Times New Roman" w:eastAsia="Times New Roman" w:hAnsi="Times New Roman" w:cs="Times New Roman"/>
          <w:i/>
          <w:iCs/>
          <w:color w:val="000000"/>
          <w:spacing w:val="0"/>
          <w:w w:val="100"/>
          <w:position w:val="0"/>
          <w:shd w:val="clear" w:color="auto" w:fill="auto"/>
          <w:lang w:val="de-DE" w:eastAsia="de-DE" w:bidi="de-DE"/>
        </w:rPr>
        <w:t>Kurhaus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numerous handsome bath</w:t>
        <w:softHyphen/>
        <w:t xml:space="preserve">houses. The environs are laid out in pretty and shady gardens and promenades, the finest being in the park which surrounds the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 xml:space="preserve">of Prince Clary-Aldringen, built in 1751. The other chief buildings are the Roman Catholic </w:t>
      </w:r>
      <w:r>
        <w:rPr>
          <w:rFonts w:ascii="Times New Roman" w:eastAsia="Times New Roman" w:hAnsi="Times New Roman" w:cs="Times New Roman"/>
          <w:color w:val="000000"/>
          <w:spacing w:val="0"/>
          <w:w w:val="100"/>
          <w:position w:val="0"/>
          <w:shd w:val="clear" w:color="auto" w:fill="auto"/>
          <w:lang w:val="de-DE" w:eastAsia="de-DE" w:bidi="de-DE"/>
        </w:rPr>
        <w:t xml:space="preserve">Schlosskirche, </w:t>
      </w:r>
      <w:r>
        <w:rPr>
          <w:rFonts w:ascii="Times New Roman" w:eastAsia="Times New Roman" w:hAnsi="Times New Roman" w:cs="Times New Roman"/>
          <w:color w:val="000000"/>
          <w:spacing w:val="0"/>
          <w:w w:val="100"/>
          <w:position w:val="0"/>
          <w:shd w:val="clear" w:color="auto" w:fill="auto"/>
          <w:lang w:val="en-US" w:eastAsia="en-US" w:bidi="en-US"/>
        </w:rPr>
        <w:t>built in 1568 and altered to its present form in 1790, the Pro</w:t>
        <w:softHyphen/>
        <w:t>testant church, the Jewish synagogue with a conspicuous dome, and the theatre. In the garden of the chateau are two ancient towers, probably the remains of the Benedictine con</w:t>
        <w:softHyphen/>
        <w:t>vent, but ascribed by local tradition to the knight Kolostuj, the legendary discoverer of the springs. The saline-alkaline springs of Teplitz, ten to twelve in number, ranging in temperature from 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117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Fahr., are classed among what are called “ indifferent ” waters. Used almost exclusively for bathing, they are prescribed for gout, rheumatism, and some scrofulous affections, and their reputed efficacy in alleviating the effects of gun-shot wounds had gained for Teplitz the sobriquet of “ the warriors’ bath.” Military baths are maintained in the town by the governments of Austria, Prussia and Saxony, and there are also bath-houses for the poor. Teplitz is much visited for the after-cure, after Carlsbad and similar spas. The number of patients is about 6000 and the passing visitors about 25,000. The presence of a bed of lignite in the neighbourhood has encouraged the industrial development of Teplitz, which carries on manufactures of machinery and metal goods, cotton and woollen goods, chemicals, hardware, sugar, dyeing and calico- printing.</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thermal springs are fabled to have been discovered as early as 762, but the first authentic mention of the baths occurs in the 16th century. The town is mentioned in the 12th century, when Judith, queen of Ladislaus I. of Bohemia, founded here a convent for Benedictine nuns, which was destroyed in the Hussite wars. In the 17th century Teplitz belonged to the </w:t>
      </w:r>
      <w:r>
        <w:rPr>
          <w:rFonts w:ascii="Times New Roman" w:eastAsia="Times New Roman" w:hAnsi="Times New Roman" w:cs="Times New Roman"/>
          <w:color w:val="000000"/>
          <w:spacing w:val="0"/>
          <w:w w:val="100"/>
          <w:position w:val="0"/>
          <w:shd w:val="clear" w:color="auto" w:fill="auto"/>
          <w:lang w:val="de-DE" w:eastAsia="de-DE" w:bidi="de-DE"/>
        </w:rPr>
        <w:t xml:space="preserve">Kinskys,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Kinsky’s murder (25th February 1634) the lordship was granted by Ferdinand II. to Johann Count Aldringen. His sister Anna, who inherited it, married Freiherr Hieronymus von Clary, who assumed the additional name and arms of Aldringen. The family, which was raised to the rank of count in 1666 and of prince of the Empire in 1767, still retains the property. Teplitz figures in the history of Wallenstein, and is also interesting as the spot where the monarchs of Austria, Russia and Prussia first signed the triple alliance against Napoleon in 1813. It is a curious fact that on the day of the earthquake at Lisbon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November 1775) the main spring at Teplitz ceased to flow for some minutes.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TERAMO, </w:t>
      </w:r>
      <w:r>
        <w:rPr>
          <w:rFonts w:ascii="Times New Roman" w:eastAsia="Times New Roman" w:hAnsi="Times New Roman" w:cs="Times New Roman"/>
          <w:color w:val="000000"/>
          <w:spacing w:val="0"/>
          <w:w w:val="100"/>
          <w:position w:val="0"/>
          <w:shd w:val="clear" w:color="auto" w:fill="auto"/>
          <w:lang w:val="en-US" w:eastAsia="en-US" w:bidi="en-US"/>
        </w:rPr>
        <w:t>an episcopal see of the Abruzzi, Italy, the capital of the province of Teramo, 16 m. by rail W.S.W. of Giulianova, a junction on the Ancona-Brindisi railway. Pop. (1901) 10,508 (town); 24,091 (commune). The town stands on the left bank of the Tordino, where it is joined by the Vezzola, at an altitude of 876 ft. above sea-level. The picturesque valley of the Tordino is here dominated by the peaks of the Gran Sasso d’Italia. The town is traversed by one straight wide street with large houses, but for the most part it consists of narrow lanes. The cathedral has a Romanesque Gothic portal of 1332 by a Roman marble worker named Deodatus, and the interior is decorated in the Baroque style, but still retains the pointed vaulting of 1154, introduced into Italy by French Benedictines; it contains a splendid silver antependium by the 15th-century goldsmith Nicolo di Guardiagrele (1433-48). The tower is fine. The church of S. Antonio is also in the Romanesque Gothic</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4)_"/>
    <w:basedOn w:val="DefaultParagraphFont"/>
    <w:link w:val="Style9"/>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9">
    <w:name w:val="Body text (4)"/>
    <w:basedOn w:val="Normal"/>
    <w:link w:val="CharStyle10"/>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