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as a Christian falls between 190 and 220, a period of very great moment in the history of the Catholic church; for within it the struggle with Gnosticism was brought to a victorious close, the New Testament established a firm footing within the churches, the “ apostolic ” rules which thenceforward regulated all the affairs of the church were called into existence, and the ecclesiastical priesthood came to be developed. Within this period also falls that evangelical and legal reaction against the political and secular tendencies of the church which is known as Montanism. The same Tertullian who had fortified the Catholic church against Gnosticism was none the less anxious to protect it from becoming a political organization. Being unable to reconcile </w:t>
      </w:r>
      <w:r>
        <w:rPr>
          <w:color w:val="000000"/>
          <w:spacing w:val="0"/>
          <w:w w:val="100"/>
          <w:position w:val="0"/>
          <w:shd w:val="clear" w:color="auto" w:fill="auto"/>
          <w:lang w:val="fr-FR" w:eastAsia="fr-FR" w:bidi="fr-FR"/>
        </w:rPr>
        <w:t xml:space="preserve">incompatibles, </w:t>
      </w:r>
      <w:r>
        <w:rPr>
          <w:color w:val="000000"/>
          <w:spacing w:val="0"/>
          <w:w w:val="100"/>
          <w:position w:val="0"/>
          <w:shd w:val="clear" w:color="auto" w:fill="auto"/>
          <w:lang w:val="en-US" w:eastAsia="en-US" w:bidi="en-US"/>
        </w:rPr>
        <w:t>he broke with the church and became the most powerful representative of Montanism in the West.</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Tertullian’s extant works are both numerous and copious, our knowledge of his life is very vague. He cannot have been born much later than about 150. His activity as a jurist in Rome must fall within the period of Commodus; for there is no indication in his writings that he was in Rome in the time of Marcus Aurelius, and many passages seem to preclude the supposition. The date of his conversion to Christianity is quite uncertain; there is much in favour of the years between 190 and 195. How long he remained in Rome after becoming a Christian, whether he had attained any office in the church before leaving Rome, what was the date of his visit to Greece—on these points also we remain in ignorance. It is certain that he was settled in Carthage in the second half of 197, the date of his writing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Apologeticus</w:t>
      </w:r>
      <w:r>
        <w:rPr>
          <w:rFonts w:ascii="Times New Roman" w:eastAsia="Times New Roman" w:hAnsi="Times New Roman" w:cs="Times New Roman"/>
          <w:color w:val="000000"/>
          <w:spacing w:val="0"/>
          <w:w w:val="100"/>
          <w:position w:val="0"/>
          <w:shd w:val="clear" w:color="auto" w:fill="auto"/>
          <w:lang w:val="en-US" w:eastAsia="en-US" w:bidi="en-US"/>
        </w:rPr>
        <w:t xml:space="preserve"> and (shortly afterwards) his two b∞ks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 nationes;</w:t>
      </w:r>
      <w:r>
        <w:rPr>
          <w:rFonts w:ascii="Times New Roman" w:eastAsia="Times New Roman" w:hAnsi="Times New Roman" w:cs="Times New Roman"/>
          <w:color w:val="000000"/>
          <w:spacing w:val="0"/>
          <w:w w:val="100"/>
          <w:position w:val="0"/>
          <w:shd w:val="clear" w:color="auto" w:fill="auto"/>
          <w:lang w:val="en-US" w:eastAsia="en-US" w:bidi="en-US"/>
        </w:rPr>
        <w:t xml:space="preserve"> we also know that he became a presbyter in Carthage and was married. His recognition of the Montanistic prophecy in Phrygia as a work of God took place in 202-203, at the time when a new persecution broke out. For the next five years it was his constant endeavour to secure the victory for Montanism within the church; but in this he became involved more and more deeply in controversy with the majority of the church in Carthage and especially with its clergy, which had the support of the clergy of Rome. As Jerome writes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vir. ill.</w:t>
      </w:r>
      <w:r>
        <w:rPr>
          <w:rFonts w:ascii="Times New Roman" w:eastAsia="Times New Roman" w:hAnsi="Times New Roman" w:cs="Times New Roman"/>
          <w:color w:val="000000"/>
          <w:spacing w:val="0"/>
          <w:w w:val="100"/>
          <w:position w:val="0"/>
          <w:shd w:val="clear" w:color="auto" w:fill="auto"/>
          <w:lang w:val="en-US" w:eastAsia="en-US" w:bidi="en-US"/>
        </w:rPr>
        <w:t xml:space="preserve"> 53) : “ Usque ad mediam aetatem presbyter </w:t>
      </w:r>
      <w:r>
        <w:rPr>
          <w:rFonts w:ascii="Times New Roman" w:eastAsia="Times New Roman" w:hAnsi="Times New Roman" w:cs="Times New Roman"/>
          <w:color w:val="000000"/>
          <w:spacing w:val="0"/>
          <w:w w:val="100"/>
          <w:position w:val="0"/>
          <w:shd w:val="clear" w:color="auto" w:fill="auto"/>
          <w:lang w:val="fr-FR" w:eastAsia="fr-FR" w:bidi="fr-FR"/>
        </w:rPr>
        <w:t xml:space="preserve">fuit </w:t>
      </w:r>
      <w:r>
        <w:rPr>
          <w:rFonts w:ascii="Times New Roman" w:eastAsia="Times New Roman" w:hAnsi="Times New Roman" w:cs="Times New Roman"/>
          <w:color w:val="000000"/>
          <w:spacing w:val="0"/>
          <w:w w:val="100"/>
          <w:position w:val="0"/>
          <w:shd w:val="clear" w:color="auto" w:fill="auto"/>
          <w:lang w:val="en-US" w:eastAsia="en-US" w:bidi="en-US"/>
        </w:rPr>
        <w:t xml:space="preserve">ecclesiae Africanae, invidia postea et contumeliis clericorum Romanae ecclesiae ad Montani dogma delapsus.” On bis breach with the Catholic church, probably in 207-208, he became the head of a small </w:t>
      </w:r>
      <w:r>
        <w:rPr>
          <w:rFonts w:ascii="Times New Roman" w:eastAsia="Times New Roman" w:hAnsi="Times New Roman" w:cs="Times New Roman"/>
          <w:color w:val="000000"/>
          <w:spacing w:val="0"/>
          <w:w w:val="100"/>
          <w:position w:val="0"/>
          <w:shd w:val="clear" w:color="auto" w:fill="auto"/>
          <w:lang w:val="de-DE" w:eastAsia="de-DE" w:bidi="de-DE"/>
        </w:rPr>
        <w:t xml:space="preserve">Montanist </w:t>
      </w:r>
      <w:r>
        <w:rPr>
          <w:rFonts w:ascii="Times New Roman" w:eastAsia="Times New Roman" w:hAnsi="Times New Roman" w:cs="Times New Roman"/>
          <w:color w:val="000000"/>
          <w:spacing w:val="0"/>
          <w:w w:val="100"/>
          <w:position w:val="0"/>
          <w:shd w:val="clear" w:color="auto" w:fill="auto"/>
          <w:lang w:val="en-US" w:eastAsia="en-US" w:bidi="en-US"/>
        </w:rPr>
        <w:t>community in Carthage. In this position he con</w:t>
        <w:softHyphen/>
        <w:t xml:space="preserve">tinued to labour, to write, and to assail the lax Catholics and their clergy until at least the time of Bishop Calixtus in the reign of Elagabalus. The year of his death is uncertain. Jerome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(ut sup.) </w:t>
      </w:r>
      <w:r>
        <w:rPr>
          <w:rFonts w:ascii="Times New Roman" w:eastAsia="Times New Roman" w:hAnsi="Times New Roman" w:cs="Times New Roman"/>
          <w:color w:val="000000"/>
          <w:spacing w:val="0"/>
          <w:w w:val="100"/>
          <w:position w:val="0"/>
          <w:shd w:val="clear" w:color="auto" w:fill="auto"/>
          <w:lang w:val="en-US" w:eastAsia="en-US" w:bidi="en-US"/>
        </w:rPr>
        <w:t xml:space="preserve">says: “ Fertur vixisse usque ad decrepitam aetatem.” That he returned at last, to the bosom of the Catholic church is a mere legend, the motive of which is obvious; his adherents after his death continued to maintain themselves as a small community in Carthage. Although he had left the church, his earlier writings continued to be extensively read; and in the 4th century his works, along with those of Cyprian, were the principal reading of Western Christians, until they were superseded by those of Jerome, Ambrose, Augustine and Gregory. Jerome has included him in his catalogue of Christian “ viri </w:t>
      </w:r>
      <w:r>
        <w:rPr>
          <w:rFonts w:ascii="Times New Roman" w:eastAsia="Times New Roman" w:hAnsi="Times New Roman" w:cs="Times New Roman"/>
          <w:color w:val="000000"/>
          <w:spacing w:val="0"/>
          <w:w w:val="100"/>
          <w:position w:val="0"/>
          <w:shd w:val="clear" w:color="auto" w:fill="auto"/>
          <w:lang w:val="fr-FR" w:eastAsia="fr-FR" w:bidi="fr-FR"/>
        </w:rPr>
        <w:t xml:space="preserve">illustres,” </w:t>
      </w:r>
      <w:r>
        <w:rPr>
          <w:rFonts w:ascii="Times New Roman" w:eastAsia="Times New Roman" w:hAnsi="Times New Roman" w:cs="Times New Roman"/>
          <w:color w:val="000000"/>
          <w:spacing w:val="0"/>
          <w:w w:val="100"/>
          <w:position w:val="0"/>
          <w:shd w:val="clear" w:color="auto" w:fill="auto"/>
          <w:lang w:val="en-US" w:eastAsia="en-US" w:bidi="en-US"/>
        </w:rPr>
        <w:t>but only as a Catholic to whom reference should be made with caution.@@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Tertullian, on the chronology of which a great deal has been written, and which for the most part do not admit of being dated with perfect certainty, fall into three classes—the apologetic, defending Christianity against paganism and Judaism; trie polemical dogmatic, refuting heresies and heretics; and the ascetic or practical, dealing with points of morality and church discipline. In point of time also three periods can be readily distin</w:t>
        <w:softHyphen/>
        <w:t xml:space="preserve">guished, the years 202-203 and 207-208 constituting the divisions. Some of the books he wrote have unfortunately disappeared— in particular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spectaculis, De baptismo,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virginibus velandis</w:t>
      </w:r>
      <w:r>
        <w:rPr>
          <w:rFonts w:ascii="Times New Roman" w:eastAsia="Times New Roman" w:hAnsi="Times New Roman" w:cs="Times New Roman"/>
          <w:color w:val="000000"/>
          <w:spacing w:val="0"/>
          <w:w w:val="100"/>
          <w:position w:val="0"/>
          <w:shd w:val="clear" w:color="auto" w:fill="auto"/>
          <w:lang w:val="en-US" w:eastAsia="en-US" w:bidi="en-US"/>
        </w:rPr>
        <w:t xml:space="preserve"> in Greek; his works in Latin on the same subjects have survived.</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Works dating from before 202-203.—</w:t>
      </w:r>
      <w:r>
        <w:rPr>
          <w:rFonts w:ascii="Times New Roman" w:eastAsia="Times New Roman" w:hAnsi="Times New Roman" w:cs="Times New Roman"/>
          <w:color w:val="000000"/>
          <w:spacing w:val="0"/>
          <w:w w:val="100"/>
          <w:position w:val="0"/>
          <w:shd w:val="clear" w:color="auto" w:fill="auto"/>
          <w:lang w:val="en-US" w:eastAsia="en-US" w:bidi="en-US"/>
        </w:rPr>
        <w:t xml:space="preserve">To this class belong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Apologeticus</w:t>
      </w:r>
      <w:r>
        <w:rPr>
          <w:rFonts w:ascii="Times New Roman" w:eastAsia="Times New Roman" w:hAnsi="Times New Roman" w:cs="Times New Roman"/>
          <w:color w:val="000000"/>
          <w:spacing w:val="0"/>
          <w:w w:val="100"/>
          <w:position w:val="0"/>
          <w:shd w:val="clear" w:color="auto" w:fill="auto"/>
          <w:lang w:val="en-US" w:eastAsia="en-US" w:bidi="en-US"/>
        </w:rPr>
        <w:t xml:space="preserve"> (197) and the two books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 nationes, De spectaculis, De idololatria, De cultu feminarum Libri II., De testimonio animae </w:t>
      </w:r>
      <w:r>
        <w:rPr>
          <w:rFonts w:ascii="Times New Roman" w:eastAsia="Times New Roman" w:hAnsi="Times New Roman" w:cs="Times New Roman"/>
          <w:color w:val="000000"/>
          <w:spacing w:val="0"/>
          <w:w w:val="100"/>
          <w:position w:val="0"/>
          <w:shd w:val="clear" w:color="auto" w:fill="auto"/>
          <w:lang w:val="en-US" w:eastAsia="en-US" w:bidi="en-US"/>
        </w:rPr>
        <w:t xml:space="preserve">(written soon after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Apologeticus),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Ad martyres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(perhaps the earliest of 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baptismo haereticorum</w:t>
      </w:r>
      <w:r>
        <w:rPr>
          <w:rFonts w:ascii="Times New Roman" w:eastAsia="Times New Roman" w:hAnsi="Times New Roman" w:cs="Times New Roman"/>
          <w:color w:val="000000"/>
          <w:spacing w:val="0"/>
          <w:w w:val="100"/>
          <w:position w:val="0"/>
          <w:shd w:val="clear" w:color="auto" w:fill="auto"/>
          <w:lang w:val="en-US" w:eastAsia="en-US" w:bidi="en-US"/>
        </w:rPr>
        <w:t xml:space="preserve"> (now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baptismo, De poenitentia, De oratione</w:t>
      </w:r>
      <w:r>
        <w:rPr>
          <w:rFonts w:ascii="Times New Roman" w:eastAsia="Times New Roman" w:hAnsi="Times New Roman" w:cs="Times New Roman"/>
          <w:color w:val="000000"/>
          <w:spacing w:val="0"/>
          <w:w w:val="100"/>
          <w:position w:val="0"/>
          <w:shd w:val="clear" w:color="auto" w:fill="auto"/>
          <w:lang w:val="en-US" w:eastAsia="en-US" w:bidi="en-US"/>
        </w:rPr>
        <w:t xml:space="preserve"> (the last three written for catechumens),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patientia. Ad uxorem Libri II., De praescriptione haereticorum,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Marcionem</w:t>
      </w:r>
      <w:r>
        <w:rPr>
          <w:rFonts w:ascii="Times New Roman" w:eastAsia="Times New Roman" w:hAnsi="Times New Roman" w:cs="Times New Roman"/>
          <w:color w:val="000000"/>
          <w:spacing w:val="0"/>
          <w:w w:val="100"/>
          <w:position w:val="0"/>
          <w:shd w:val="clear" w:color="auto" w:fill="auto"/>
          <w:lang w:val="en-US" w:eastAsia="en-US" w:bidi="en-US"/>
        </w:rPr>
        <w:t xml:space="preserve"> (in its first form).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Apologeticus,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3rd century was translated into Greek, is the weightiest work in defence of Christianity of the first two centuries. It disposes of the charges brought against Christians for secret crimes (in</w:t>
        <w:softHyphen/>
        <w:t>cest, &amp;c.) and public offences (contempt of the State religion and high treason), and asserts the absolute superiority of Christianity as a revealed religion beyond the rivalry of all human systems.</w:t>
      </w:r>
    </w:p>
    <w:p>
      <w:pPr>
        <w:pStyle w:val="Style5"/>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Respecting its relation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Octavius</w:t>
      </w:r>
      <w:r>
        <w:rPr>
          <w:rFonts w:ascii="Times New Roman" w:eastAsia="Times New Roman" w:hAnsi="Times New Roman" w:cs="Times New Roman"/>
          <w:color w:val="000000"/>
          <w:spacing w:val="0"/>
          <w:w w:val="100"/>
          <w:position w:val="0"/>
          <w:shd w:val="clear" w:color="auto" w:fill="auto"/>
          <w:lang w:val="en-US" w:eastAsia="en-US" w:bidi="en-US"/>
        </w:rPr>
        <w:t xml:space="preserve"> of Minucius Felix much has been written; to the present writer it seems unquestionable that Tertullian’s work was the later. Of great moment also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praescriptione haereticorum,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jurist is more clearly heard than the Christian. It is the chief of the dogmatic or polemical works, and rules the accuser out of court at the very opening of the case.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spectaculis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idololatria</w:t>
      </w:r>
      <w:r>
        <w:rPr>
          <w:rFonts w:ascii="Times New Roman" w:eastAsia="Times New Roman" w:hAnsi="Times New Roman" w:cs="Times New Roman"/>
          <w:color w:val="000000"/>
          <w:spacing w:val="0"/>
          <w:w w:val="100"/>
          <w:position w:val="0"/>
          <w:shd w:val="clear" w:color="auto" w:fill="auto"/>
          <w:lang w:val="en-US" w:eastAsia="en-US" w:bidi="en-US"/>
        </w:rPr>
        <w:t xml:space="preserve"> show that Tertullian was already in a certain sense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Montanist </w:t>
      </w:r>
      <w:r>
        <w:rPr>
          <w:rFonts w:ascii="Times New Roman" w:eastAsia="Times New Roman" w:hAnsi="Times New Roman" w:cs="Times New Roman"/>
          <w:color w:val="000000"/>
          <w:spacing w:val="0"/>
          <w:w w:val="100"/>
          <w:position w:val="0"/>
          <w:shd w:val="clear" w:color="auto" w:fill="auto"/>
          <w:lang w:val="en-US" w:eastAsia="en-US" w:bidi="en-US"/>
        </w:rPr>
        <w:t xml:space="preserve">before he formally went over to that creed; on the other hand,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poenitentia</w:t>
      </w:r>
      <w:r>
        <w:rPr>
          <w:rFonts w:ascii="Times New Roman" w:eastAsia="Times New Roman" w:hAnsi="Times New Roman" w:cs="Times New Roman"/>
          <w:color w:val="000000"/>
          <w:spacing w:val="0"/>
          <w:w w:val="100"/>
          <w:position w:val="0"/>
          <w:shd w:val="clear" w:color="auto" w:fill="auto"/>
          <w:lang w:val="en-US" w:eastAsia="en-US" w:bidi="en-US"/>
        </w:rPr>
        <w:t xml:space="preserve"> proves that his earlier views on church discipline were much more tolerant than his later. To learn something of his Christian temper we must read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oratione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patientia.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baptismo</w:t>
      </w:r>
      <w:r>
        <w:rPr>
          <w:rFonts w:ascii="Times New Roman" w:eastAsia="Times New Roman" w:hAnsi="Times New Roman" w:cs="Times New Roman"/>
          <w:color w:val="000000"/>
          <w:spacing w:val="0"/>
          <w:w w:val="100"/>
          <w:position w:val="0"/>
          <w:shd w:val="clear" w:color="auto" w:fill="auto"/>
          <w:lang w:val="en-US" w:eastAsia="en-US" w:bidi="en-US"/>
        </w:rPr>
        <w:t xml:space="preserve"> is of special interest from the archaeological point of view.</w:t>
      </w:r>
    </w:p>
    <w:p>
      <w:pPr>
        <w:pStyle w:val="Style8"/>
        <w:keepNext w:val="0"/>
        <w:keepLines w:val="0"/>
        <w:widowControl w:val="0"/>
        <w:shd w:val="clear" w:color="auto" w:fill="auto"/>
        <w:tabs>
          <w:tab w:pos="490" w:val="left"/>
        </w:tabs>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Works written between 202-203 and 207-208.—De virginibus velandis, De corona militis, De fuga in persecutione, De exhorta- tione castitatis, De scorpiace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booklet against the Gnostics, whom he compares to scorpions; it is written in praise of martyrdom),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Adversus Hermogenem, De censu animae adv. Hermogenem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Valentinianos, Adv. Apelleiacos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paradiso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fato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anima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first book on Christian psychology),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carne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 De resurrectione carnis,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spe fidelium </w:t>
      </w:r>
      <w:r>
        <w:rPr>
          <w:rFonts w:ascii="Times New Roman" w:eastAsia="Times New Roman" w:hAnsi="Times New Roman" w:cs="Times New Roman"/>
          <w:color w:val="000000"/>
          <w:spacing w:val="0"/>
          <w:w w:val="100"/>
          <w:position w:val="0"/>
          <w:sz w:val="16"/>
          <w:szCs w:val="16"/>
          <w:shd w:val="clear" w:color="auto" w:fill="auto"/>
          <w:lang w:val="en-US" w:eastAsia="en-US" w:bidi="en-US"/>
        </w:rPr>
        <w:t>(lost), were all written after Tertullian had recognized the prophetic claims of the Montanists, but before he had left the church.</w:t>
      </w:r>
    </w:p>
    <w:p>
      <w:pPr>
        <w:pStyle w:val="Style5"/>
        <w:keepNext w:val="0"/>
        <w:keepLines w:val="0"/>
        <w:widowControl w:val="0"/>
        <w:shd w:val="clear" w:color="auto" w:fill="auto"/>
        <w:tabs>
          <w:tab w:pos="576"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Works later than 207-208.—</w:t>
      </w:r>
      <w:r>
        <w:rPr>
          <w:rFonts w:ascii="Times New Roman" w:eastAsia="Times New Roman" w:hAnsi="Times New Roman" w:cs="Times New Roman"/>
          <w:color w:val="000000"/>
          <w:spacing w:val="0"/>
          <w:w w:val="100"/>
          <w:position w:val="0"/>
          <w:shd w:val="clear" w:color="auto" w:fill="auto"/>
          <w:lang w:val="en-US" w:eastAsia="en-US" w:bidi="en-US"/>
        </w:rPr>
        <w:t xml:space="preserve">To this period belong the five books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Marcionem,</w:t>
      </w:r>
      <w:r>
        <w:rPr>
          <w:rFonts w:ascii="Times New Roman" w:eastAsia="Times New Roman" w:hAnsi="Times New Roman" w:cs="Times New Roman"/>
          <w:color w:val="000000"/>
          <w:spacing w:val="0"/>
          <w:w w:val="100"/>
          <w:position w:val="0"/>
          <w:shd w:val="clear" w:color="auto" w:fill="auto"/>
          <w:lang w:val="en-US" w:eastAsia="en-US" w:bidi="en-US"/>
        </w:rPr>
        <w:t xml:space="preserve"> his main anti-Gnostic work (in the third form—the first of the five was written in 207-208),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 Scapulam </w:t>
      </w:r>
      <w:r>
        <w:rPr>
          <w:rFonts w:ascii="Times New Roman" w:eastAsia="Times New Roman" w:hAnsi="Times New Roman" w:cs="Times New Roman"/>
          <w:color w:val="000000"/>
          <w:spacing w:val="0"/>
          <w:w w:val="100"/>
          <w:position w:val="0"/>
          <w:shd w:val="clear" w:color="auto" w:fill="auto"/>
          <w:lang w:val="en-US" w:eastAsia="en-US" w:bidi="en-US"/>
        </w:rPr>
        <w:t xml:space="preserve">(an admonition to the persecuting proconsul of Africa, written soon after 212),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pallio</w:t>
      </w:r>
      <w:r>
        <w:rPr>
          <w:rFonts w:ascii="Times New Roman" w:eastAsia="Times New Roman" w:hAnsi="Times New Roman" w:cs="Times New Roman"/>
          <w:color w:val="000000"/>
          <w:spacing w:val="0"/>
          <w:w w:val="100"/>
          <w:position w:val="0"/>
          <w:shd w:val="clear" w:color="auto" w:fill="auto"/>
          <w:lang w:val="en-US" w:eastAsia="en-US" w:bidi="en-US"/>
        </w:rPr>
        <w:t xml:space="preserve"> (a defence of his wearing the pallium instead of the toga),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Praxean</w:t>
      </w:r>
      <w:r>
        <w:rPr>
          <w:rFonts w:ascii="Times New Roman" w:eastAsia="Times New Roman" w:hAnsi="Times New Roman" w:cs="Times New Roman"/>
          <w:color w:val="000000"/>
          <w:spacing w:val="0"/>
          <w:w w:val="100"/>
          <w:position w:val="0"/>
          <w:shd w:val="clear" w:color="auto" w:fill="auto"/>
          <w:lang w:val="en-US" w:eastAsia="en-US" w:bidi="en-US"/>
        </w:rPr>
        <w:t xml:space="preserve"> (his principal work against the Mon- archians),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Judaeos,</w:t>
      </w:r>
      <w:r>
        <w:rPr>
          <w:rFonts w:ascii="Times New Roman" w:eastAsia="Times New Roman" w:hAnsi="Times New Roman" w:cs="Times New Roman"/>
          <w:color w:val="000000"/>
          <w:spacing w:val="0"/>
          <w:w w:val="100"/>
          <w:position w:val="0"/>
          <w:shd w:val="clear" w:color="auto" w:fill="auto"/>
          <w:lang w:val="en-US" w:eastAsia="en-US" w:bidi="en-US"/>
        </w:rPr>
        <w:t xml:space="preserve"> chaps. ix.-xiv. of which arc a com</w:t>
        <w:softHyphen/>
        <w:t xml:space="preserve">pletion by another and less skilful hand. The latest extant works of Tertullian (all after 217) are his controversial writings against the laxity of the Catholics, full of the bitterest attacks, especially upon Calixtus, the bishop of Rome; these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monogamia, De jejunio, De pudicitia,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ecstasi Libri VII.</w:t>
      </w:r>
      <w:r>
        <w:rPr>
          <w:rFonts w:ascii="Times New Roman" w:eastAsia="Times New Roman" w:hAnsi="Times New Roman" w:cs="Times New Roman"/>
          <w:color w:val="000000"/>
          <w:spacing w:val="0"/>
          <w:w w:val="100"/>
          <w:position w:val="0"/>
          <w:shd w:val="clear" w:color="auto" w:fill="auto"/>
          <w:lang w:val="en-US" w:eastAsia="en-US" w:bidi="en-US"/>
        </w:rPr>
        <w:t xml:space="preserve"> (lost). The arguments against the genuineness of some of the above writings do not seem to the present writer to have weight. It is quite possible that Tertullian was the author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Acta perpetuae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felicitatis,</w:t>
      </w:r>
      <w:r>
        <w:rPr>
          <w:rFonts w:ascii="Times New Roman" w:eastAsia="Times New Roman" w:hAnsi="Times New Roman" w:cs="Times New Roman"/>
          <w:color w:val="000000"/>
          <w:spacing w:val="0"/>
          <w:w w:val="100"/>
          <w:position w:val="0"/>
          <w:shd w:val="clear" w:color="auto" w:fill="auto"/>
          <w:lang w:val="en-US" w:eastAsia="en-US" w:bidi="en-US"/>
        </w:rPr>
        <w:t xml:space="preserve"> but he did not write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Libellus adv omnes haereses </w:t>
      </w:r>
      <w:r>
        <w:rPr>
          <w:rFonts w:ascii="Times New Roman" w:eastAsia="Times New Roman" w:hAnsi="Times New Roman" w:cs="Times New Roman"/>
          <w:color w:val="000000"/>
          <w:spacing w:val="0"/>
          <w:w w:val="100"/>
          <w:position w:val="0"/>
          <w:shd w:val="clear" w:color="auto" w:fill="auto"/>
          <w:lang w:val="en-US" w:eastAsia="en-US" w:bidi="en-US"/>
        </w:rPr>
        <w:t xml:space="preserve">often appended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praescriptione;</w:t>
      </w:r>
      <w:r>
        <w:rPr>
          <w:rFonts w:ascii="Times New Roman" w:eastAsia="Times New Roman" w:hAnsi="Times New Roman" w:cs="Times New Roman"/>
          <w:color w:val="000000"/>
          <w:spacing w:val="0"/>
          <w:w w:val="100"/>
          <w:position w:val="0"/>
          <w:shd w:val="clear" w:color="auto" w:fill="auto"/>
          <w:lang w:val="en-US" w:eastAsia="en-US" w:bidi="en-US"/>
        </w:rPr>
        <w:t xml:space="preserve"> or the poems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Mar</w:t>
        <w:softHyphen/>
        <w:t>cionem, De Sodoma, De Jona, De Genesi, De judicio Domini;</w:t>
      </w:r>
      <w:r>
        <w:rPr>
          <w:rFonts w:ascii="Times New Roman" w:eastAsia="Times New Roman" w:hAnsi="Times New Roman" w:cs="Times New Roman"/>
          <w:color w:val="000000"/>
          <w:spacing w:val="0"/>
          <w:w w:val="100"/>
          <w:position w:val="0"/>
          <w:shd w:val="clear" w:color="auto" w:fill="auto"/>
          <w:lang w:val="en-US" w:eastAsia="en-US" w:bidi="en-US"/>
        </w:rPr>
        <w:t xml:space="preserve"> or the fragment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execrandis gentium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Trinitate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cibis Judaicis</w:t>
      </w:r>
      <w:r>
        <w:rPr>
          <w:rFonts w:ascii="Times New Roman" w:eastAsia="Times New Roman" w:hAnsi="Times New Roman" w:cs="Times New Roman"/>
          <w:color w:val="000000"/>
          <w:spacing w:val="0"/>
          <w:w w:val="100"/>
          <w:position w:val="0"/>
          <w:shd w:val="clear" w:color="auto" w:fill="auto"/>
          <w:lang w:val="en-US" w:eastAsia="en-US" w:bidi="en-US"/>
        </w:rPr>
        <w:t xml:space="preserve"> of Novatian.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—For the MSS. see E. Preuschen in A. Hamack,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altchristl.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Literatur,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675-7. Of printed collections the chief are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de-DE" w:eastAsia="de-DE" w:bidi="de-DE"/>
        </w:rPr>
        <w:t xml:space="preserve">Beatus Rhenanus </w:t>
      </w:r>
      <w:r>
        <w:rPr>
          <w:rFonts w:ascii="Times New Roman" w:eastAsia="Times New Roman" w:hAnsi="Times New Roman" w:cs="Times New Roman"/>
          <w:color w:val="000000"/>
          <w:spacing w:val="0"/>
          <w:w w:val="100"/>
          <w:position w:val="0"/>
          <w:shd w:val="clear" w:color="auto" w:fill="auto"/>
          <w:lang w:val="en-US" w:eastAsia="en-US" w:bidi="en-US"/>
        </w:rPr>
        <w:t xml:space="preserve">(Basel, 1521), Migne,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Patr. Lat.</w:t>
      </w:r>
      <w:r>
        <w:rPr>
          <w:rFonts w:ascii="Times New Roman" w:eastAsia="Times New Roman" w:hAnsi="Times New Roman" w:cs="Times New Roman"/>
          <w:color w:val="000000"/>
          <w:spacing w:val="0"/>
          <w:w w:val="100"/>
          <w:position w:val="0"/>
          <w:shd w:val="clear" w:color="auto" w:fill="auto"/>
          <w:lang w:val="en-US" w:eastAsia="en-US" w:bidi="en-US"/>
        </w:rPr>
        <w:t xml:space="preserve"> i.-ii. (Paris, 1844); Fr. Oehler (3 vols., Leipzig, 1851-4); and A. </w:t>
      </w:r>
      <w:r>
        <w:rPr>
          <w:rFonts w:ascii="Times New Roman" w:eastAsia="Times New Roman" w:hAnsi="Times New Roman" w:cs="Times New Roman"/>
          <w:color w:val="000000"/>
          <w:spacing w:val="0"/>
          <w:w w:val="100"/>
          <w:position w:val="0"/>
          <w:shd w:val="clear" w:color="auto" w:fill="auto"/>
          <w:lang w:val="de-DE" w:eastAsia="de-DE" w:bidi="de-DE"/>
        </w:rPr>
        <w:t xml:space="preserve">Reifferscheid </w:t>
      </w:r>
      <w:r>
        <w:rPr>
          <w:rFonts w:ascii="Times New Roman" w:eastAsia="Times New Roman" w:hAnsi="Times New Roman" w:cs="Times New Roman"/>
          <w:color w:val="000000"/>
          <w:spacing w:val="0"/>
          <w:w w:val="100"/>
          <w:position w:val="0"/>
          <w:shd w:val="clear" w:color="auto" w:fill="auto"/>
          <w:lang w:val="en-US" w:eastAsia="en-US" w:bidi="en-US"/>
        </w:rPr>
        <w:t xml:space="preserve">and G. Wissowa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 scriptorum eccl. Lat.</w:t>
      </w:r>
      <w:r>
        <w:rPr>
          <w:rFonts w:ascii="Times New Roman" w:eastAsia="Times New Roman" w:hAnsi="Times New Roman" w:cs="Times New Roman"/>
          <w:color w:val="000000"/>
          <w:spacing w:val="0"/>
          <w:w w:val="100"/>
          <w:position w:val="0"/>
          <w:shd w:val="clear" w:color="auto" w:fill="auto"/>
          <w:lang w:val="en-US" w:eastAsia="en-US" w:bidi="en-US"/>
        </w:rPr>
        <w:t xml:space="preserve"> (Pars i., Vienna, 1890). Editions of the separate books are almost innumerable.</w:t>
      </w:r>
    </w:p>
    <w:p>
      <w:pPr>
        <w:pStyle w:val="Style5"/>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Translations.</w:t>
      </w:r>
      <w:r>
        <w:rPr>
          <w:rFonts w:ascii="Times New Roman" w:eastAsia="Times New Roman" w:hAnsi="Times New Roman" w:cs="Times New Roman"/>
          <w:color w:val="000000"/>
          <w:spacing w:val="0"/>
          <w:w w:val="100"/>
          <w:position w:val="0"/>
          <w:shd w:val="clear" w:color="auto" w:fill="auto"/>
          <w:lang w:val="en-US" w:eastAsia="en-US" w:bidi="en-US"/>
        </w:rPr>
        <w:t xml:space="preserve">—German by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A. H. Kellner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Cologne, 1882) and selections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Bibliothek der Kirchenväter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(1869, 1872); English by S. Thelwall and others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Ante-Nicene Fathers,</w:t>
      </w:r>
      <w:r>
        <w:rPr>
          <w:rFonts w:ascii="Times New Roman" w:eastAsia="Times New Roman" w:hAnsi="Times New Roman" w:cs="Times New Roman"/>
          <w:color w:val="000000"/>
          <w:spacing w:val="0"/>
          <w:w w:val="100"/>
          <w:position w:val="0"/>
          <w:shd w:val="clear" w:color="auto" w:fill="auto"/>
          <w:lang w:val="en-US" w:eastAsia="en-US" w:bidi="en-US"/>
        </w:rPr>
        <w:t xml:space="preserve"> iii. and iv., and (apologetic and practical writings) by C. Dodgson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Library of the Fathers,</w:t>
      </w:r>
      <w:r>
        <w:rPr>
          <w:rFonts w:ascii="Times New Roman" w:eastAsia="Times New Roman" w:hAnsi="Times New Roman" w:cs="Times New Roman"/>
          <w:color w:val="000000"/>
          <w:spacing w:val="0"/>
          <w:w w:val="100"/>
          <w:position w:val="0"/>
          <w:shd w:val="clear" w:color="auto" w:fill="auto"/>
          <w:lang w:val="en-US" w:eastAsia="en-US" w:bidi="en-US"/>
        </w:rPr>
        <w:t xml:space="preserve"> x. (Oxford, 1842).</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—Fr. Oehler’s third volume contains a collection of early dissertations. See also A. Hauck,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Tertullian’s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Leben und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(Erlangen, 1877); J∙ Μ. Fuller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Chr. Biog.,</w:t>
      </w:r>
      <w:r>
        <w:rPr>
          <w:rFonts w:ascii="Times New Roman" w:eastAsia="Times New Roman" w:hAnsi="Times New Roman" w:cs="Times New Roman"/>
          <w:color w:val="000000"/>
          <w:spacing w:val="0"/>
          <w:w w:val="100"/>
          <w:position w:val="0"/>
          <w:shd w:val="clear" w:color="auto" w:fill="auto"/>
          <w:lang w:val="en-US" w:eastAsia="en-US" w:bidi="en-US"/>
        </w:rPr>
        <w:t xml:space="preserve"> iv. 818-864; E. Nolldechen,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Tertullian</w:t>
      </w:r>
      <w:r>
        <w:rPr>
          <w:rFonts w:ascii="Times New Roman" w:eastAsia="Times New Roman" w:hAnsi="Times New Roman" w:cs="Times New Roman"/>
          <w:color w:val="000000"/>
          <w:spacing w:val="0"/>
          <w:w w:val="100"/>
          <w:position w:val="0"/>
          <w:shd w:val="clear" w:color="auto" w:fill="auto"/>
          <w:lang w:val="en-US" w:eastAsia="en-US" w:bidi="en-US"/>
        </w:rPr>
        <w:t xml:space="preserve"> (Gotha, 1890); </w:t>
      </w:r>
      <w:r>
        <w:rPr>
          <w:rFonts w:ascii="Times New Roman" w:eastAsia="Times New Roman" w:hAnsi="Times New Roman" w:cs="Times New Roman"/>
          <w:color w:val="000000"/>
          <w:spacing w:val="0"/>
          <w:w w:val="100"/>
          <w:position w:val="0"/>
          <w:shd w:val="clear" w:color="auto" w:fill="auto"/>
          <w:lang w:val="fr-FR" w:eastAsia="fr-FR" w:bidi="fr-FR"/>
        </w:rPr>
        <w:t xml:space="preserve">P. Monceaux,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littéraire de l'Afrique chrétienne,</w:t>
      </w:r>
      <w:r>
        <w:rPr>
          <w:rFonts w:ascii="Times New Roman" w:eastAsia="Times New Roman" w:hAnsi="Times New Roman" w:cs="Times New Roman"/>
          <w:color w:val="000000"/>
          <w:spacing w:val="0"/>
          <w:w w:val="100"/>
          <w:position w:val="0"/>
          <w:shd w:val="clear" w:color="auto" w:fill="auto"/>
          <w:lang w:val="fr-FR" w:eastAsia="fr-FR" w:bidi="fr-FR"/>
        </w:rPr>
        <w:t xml:space="preserve"> vol. i. (Paris, 1901); T. R. </w:t>
      </w:r>
      <w:r>
        <w:rPr>
          <w:rFonts w:ascii="Times New Roman" w:eastAsia="Times New Roman" w:hAnsi="Times New Roman" w:cs="Times New Roman"/>
          <w:color w:val="000000"/>
          <w:spacing w:val="0"/>
          <w:w w:val="100"/>
          <w:position w:val="0"/>
          <w:shd w:val="clear" w:color="auto" w:fill="auto"/>
          <w:lang w:val="en-US" w:eastAsia="en-US" w:bidi="en-US"/>
        </w:rPr>
        <w:t xml:space="preserve">Glover,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Conflict of Religions in the Early Roman Empire, </w:t>
      </w:r>
      <w:r>
        <w:rPr>
          <w:rFonts w:ascii="Times New Roman" w:eastAsia="Times New Roman" w:hAnsi="Times New Roman" w:cs="Times New Roman"/>
          <w:color w:val="000000"/>
          <w:spacing w:val="0"/>
          <w:w w:val="100"/>
          <w:position w:val="0"/>
          <w:shd w:val="clear" w:color="auto" w:fill="auto"/>
          <w:lang w:val="en-US" w:eastAsia="en-US" w:bidi="en-US"/>
        </w:rPr>
        <w:t>chap. x. (London, 1909); and the various Histories of Dogma and Church Histories.</w:t>
      </w:r>
    </w:p>
    <w:p>
      <w:pPr>
        <w:pStyle w:val="Style5"/>
        <w:keepNext w:val="0"/>
        <w:keepLines w:val="0"/>
        <w:widowControl w:val="0"/>
        <w:shd w:val="clear" w:color="auto" w:fill="auto"/>
        <w:tabs>
          <w:tab w:pos="3941"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complete bibliography see'G. </w:t>
      </w:r>
      <w:r>
        <w:rPr>
          <w:rFonts w:ascii="Times New Roman" w:eastAsia="Times New Roman" w:hAnsi="Times New Roman" w:cs="Times New Roman"/>
          <w:color w:val="000000"/>
          <w:spacing w:val="0"/>
          <w:w w:val="100"/>
          <w:position w:val="0"/>
          <w:shd w:val="clear" w:color="auto" w:fill="auto"/>
          <w:lang w:val="de-DE" w:eastAsia="de-DE" w:bidi="de-DE"/>
        </w:rPr>
        <w:t xml:space="preserve">Krüger,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of Early Christian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(Eng. tr. New York and London, 1897); Herzog-Hauck,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Realencyk.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xix.; and O. Bardenhewer,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Patrology </w:t>
      </w:r>
      <w:r>
        <w:rPr>
          <w:rFonts w:ascii="Times New Roman" w:eastAsia="Times New Roman" w:hAnsi="Times New Roman" w:cs="Times New Roman"/>
          <w:color w:val="000000"/>
          <w:spacing w:val="0"/>
          <w:w w:val="100"/>
          <w:position w:val="0"/>
          <w:shd w:val="clear" w:color="auto" w:fill="auto"/>
          <w:lang w:val="en-US" w:eastAsia="en-US" w:bidi="en-US"/>
        </w:rPr>
        <w:t xml:space="preserve">(Eng. tr. Freiburg im Breisgau and St Louis, 1908). A large number of earlier monographs on special points are cited in the 9th edn.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Georgia" w:eastAsia="Georgia" w:hAnsi="Georgia" w:cs="Georgia"/>
          <w:color w:val="000000"/>
          <w:spacing w:val="0"/>
          <w:w w:val="100"/>
          <w:position w:val="0"/>
          <w:sz w:val="17"/>
          <w:szCs w:val="17"/>
          <w:shd w:val="clear" w:color="auto" w:fill="auto"/>
          <w:lang w:val="en-US" w:eastAsia="en-US" w:bidi="en-US"/>
        </w:rPr>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lang w:val="en-US" w:eastAsia="en-US" w:bidi="en-US"/>
        </w:rPr>
        <w:t xml:space="preserve"> ; 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TERUEL, </w:t>
      </w:r>
      <w:r>
        <w:rPr>
          <w:color w:val="000000"/>
          <w:spacing w:val="0"/>
          <w:w w:val="100"/>
          <w:position w:val="0"/>
          <w:shd w:val="clear" w:color="auto" w:fill="auto"/>
          <w:lang w:val="en-US" w:eastAsia="en-US" w:bidi="en-US"/>
        </w:rPr>
        <w:t>a province of north-eastern Spain, formed in 1833 from part of the ancient kingdom of Aragon; bounded on the N. by Saragossa, E. by Tarragona, S.E. and S. by Castellon de la Plana and Valencia, S.W. by Cuenca, and W. by Guadalajara. Pop. (1900) 246,001; area 5720 sq. m. In the centre of the province rise the Sierras of Gudar and San Just; in the south-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est and west are the lofty Albarracin range, the Montes </w:t>
      </w:r>
      <w:r>
        <w:rPr>
          <w:color w:val="000000"/>
          <w:spacing w:val="0"/>
          <w:w w:val="100"/>
          <w:position w:val="0"/>
          <w:shd w:val="clear" w:color="auto" w:fill="auto"/>
          <w:lang w:val="de-DE" w:eastAsia="de-DE" w:bidi="de-DE"/>
        </w:rPr>
        <w:t xml:space="preserve">Universales, </w:t>
      </w:r>
      <w:r>
        <w:rPr>
          <w:color w:val="000000"/>
          <w:spacing w:val="0"/>
          <w:w w:val="100"/>
          <w:position w:val="0"/>
          <w:shd w:val="clear" w:color="auto" w:fill="auto"/>
          <w:lang w:val="en-US" w:eastAsia="en-US" w:bidi="en-US"/>
        </w:rPr>
        <w:t>and the isolated ridges of Palomera and Cucalon. Outliers of the Castellon and Tarragona highlands extend along the eastern border. The northern districts belong to the Ebro basin. In the west there are a few peaks, such as the Cerro de San Felipe and Muela de San Juan, which exceed 5000 ft. in altitude and are covered with snow for many months; but the highest point is Javalambre (6568 ft.) in the south. The sierras give rise to several large rivers, the principal being</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Compare also the judgment of Hilary and of Vincent of Lerins,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Commonit.,</w:t>
      </w:r>
      <w:r>
        <w:rPr>
          <w:rFonts w:ascii="Times New Roman" w:eastAsia="Times New Roman" w:hAnsi="Times New Roman" w:cs="Times New Roman"/>
          <w:color w:val="000000"/>
          <w:spacing w:val="0"/>
          <w:w w:val="100"/>
          <w:position w:val="0"/>
          <w:shd w:val="clear" w:color="auto" w:fill="auto"/>
          <w:lang w:val="en-US" w:eastAsia="en-US" w:bidi="en-US"/>
        </w:rPr>
        <w:t xml:space="preserve"> 24.</w:t>
      </w:r>
    </w:p>
    <w:p>
      <w:pPr>
        <w:widowControl w:val="0"/>
        <w:spacing w:line="1" w:lineRule="exact"/>
      </w:pPr>
    </w:p>
    <w:sectPr>
      <w:footnotePr>
        <w:pos w:val="pageBottom"/>
        <w:numFmt w:val="decimal"/>
        <w:numRestart w:val="continuous"/>
      </w:footnotePr>
      <w:type w:val="continuous"/>
      <w:pgSz w:w="12240" w:h="15840"/>
      <w:pgMar w:top="922" w:left="838" w:right="987"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