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1742 delighted Versailles with his brilliant qualities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grand seigneur,</w:t>
      </w:r>
      <w:r>
        <w:rPr>
          <w:rFonts w:ascii="Times New Roman" w:eastAsia="Times New Roman" w:hAnsi="Times New Roman" w:cs="Times New Roman"/>
          <w:color w:val="000000"/>
          <w:spacing w:val="0"/>
          <w:w w:val="100"/>
          <w:position w:val="0"/>
          <w:shd w:val="clear" w:color="auto" w:fill="auto"/>
          <w:lang w:val="en-US" w:eastAsia="en-US" w:bidi="en-US"/>
        </w:rPr>
        <w:t xml:space="preserve"> at the same time renewing the traditional alliance between France and Sweden which had been interrupted for more than sixty years. His political ability, however, was by no means commensurate with his splendid social qualities. It was his sanguine credulity which committed the “ Hats ” to their rash and unconsidered war with Russia in 1741-42, though in fairness it must be added that Tessin helped them out of their difficulties again by his adroitness as a party leader and his stirring eloquence. He gained his arm-chair in the senate as a reward for his services on this occasion. In 1743 Tessin composed the long outstanding differences between Sweden and Denmark in a special mission to Copenhagen. In 1744 he was sent at the head of an extraordinary embassade to Berlin to escort to Stockholm Frederick the Great’s sister, Louisa Ulrica, the chosen bride of the Swedish crown-prince, Adolphus Frederick.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overhofmarskalk</w:t>
      </w:r>
      <w:r>
        <w:rPr>
          <w:rFonts w:ascii="Times New Roman" w:eastAsia="Times New Roman" w:hAnsi="Times New Roman" w:cs="Times New Roman"/>
          <w:color w:val="000000"/>
          <w:spacing w:val="0"/>
          <w:w w:val="100"/>
          <w:position w:val="0"/>
          <w:shd w:val="clear" w:color="auto" w:fill="auto"/>
          <w:lang w:val="en-US" w:eastAsia="en-US" w:bidi="en-US"/>
        </w:rPr>
        <w:t xml:space="preserve"> of the young court, Tessin speedily captivated the royal pair. He also succeeded in withdrawing the crown-prince from beneath the influence of the Russian empress Elizabeth, to whom Adolphus Frederick owed his throne when he became king of Sweden in 1751, thereby essentially contributing to the maintenance of the independence of Sweden. From 1746 to 1752 Tessin was president of the chancellery, as the Swedish prime minister was called in those days. His “ system ” aimed at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rapproche</w:t>
        <w:softHyphen/>
        <w:t>ment</w:t>
      </w:r>
      <w:r>
        <w:rPr>
          <w:rFonts w:ascii="Times New Roman" w:eastAsia="Times New Roman" w:hAnsi="Times New Roman" w:cs="Times New Roman"/>
          <w:color w:val="000000"/>
          <w:spacing w:val="0"/>
          <w:w w:val="100"/>
          <w:position w:val="0"/>
          <w:shd w:val="clear" w:color="auto" w:fill="auto"/>
          <w:lang w:val="en-US" w:eastAsia="en-US" w:bidi="en-US"/>
        </w:rPr>
        <w:t xml:space="preserve"> with Denmark with the view of counterbalancing the influence of Russia in the north. It was a dignified and prudent policy, but his endeavour to consolidate it by promoting a matrimonial alliance between the two courts alienated the Swedish crown-prince, who, 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Holsteiner, </w:t>
      </w:r>
      <w:r>
        <w:rPr>
          <w:rFonts w:ascii="Times New Roman" w:eastAsia="Times New Roman" w:hAnsi="Times New Roman" w:cs="Times New Roman"/>
          <w:color w:val="000000"/>
          <w:spacing w:val="0"/>
          <w:w w:val="100"/>
          <w:position w:val="0"/>
          <w:shd w:val="clear" w:color="auto" w:fill="auto"/>
          <w:lang w:val="en-US" w:eastAsia="en-US" w:bidi="en-US"/>
        </w:rPr>
        <w:t>nourished an ineradicable hatred of everything Danish. As, moreover, on the accession of Adolphus Frederick in 1751, Tessin refused to countenance any extension of the royal prerogative, the rupture between him and the court became final. On the occasion of the coronation (1752) he resigned the premiership, and in 1754 the governorship of the young crown-prince Gustavus also, spending the rest of his days at his estate at Åkerö. Tessin was one of the most brilliant personages of his day, and the most prominent representative of French culture in Sweden. He was also a fine orator, and his literary style is excellent.</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principal works are his autobiographical fragments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ed. Stockholm, 1819),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Tessin och Tessiniana;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Tessin’s Dagbok </w:t>
      </w:r>
      <w:r>
        <w:rPr>
          <w:rFonts w:ascii="Times New Roman" w:eastAsia="Times New Roman" w:hAnsi="Times New Roman" w:cs="Times New Roman"/>
          <w:color w:val="000000"/>
          <w:spacing w:val="0"/>
          <w:w w:val="100"/>
          <w:position w:val="0"/>
          <w:shd w:val="clear" w:color="auto" w:fill="auto"/>
          <w:lang w:val="en-US" w:eastAsia="en-US" w:bidi="en-US"/>
        </w:rPr>
        <w:t xml:space="preserve">(Stockholm, 1824), both of them extracts from his voluminous MS. memoirs in 29 volumes; and his famous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gammal mans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bref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til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ung Prins</w:t>
      </w:r>
      <w:r>
        <w:rPr>
          <w:rFonts w:ascii="Times New Roman" w:eastAsia="Times New Roman" w:hAnsi="Times New Roman" w:cs="Times New Roman"/>
          <w:color w:val="000000"/>
          <w:spacing w:val="0"/>
          <w:w w:val="100"/>
          <w:position w:val="0"/>
          <w:shd w:val="clear" w:color="auto" w:fill="auto"/>
          <w:lang w:val="en-US" w:eastAsia="en-US" w:bidi="en-US"/>
        </w:rPr>
        <w:t xml:space="preserve"> (Stockholm, 1753; English editions, 1755 and 1756), addressed to his pupil, afterwards Gustavus 111., one of the most delightful books for the young that ever saw the light.</w:t>
      </w:r>
    </w:p>
    <w:p>
      <w:pPr>
        <w:pStyle w:val="Style6"/>
        <w:keepNext w:val="0"/>
        <w:keepLines w:val="0"/>
        <w:widowControl w:val="0"/>
        <w:shd w:val="clear" w:color="auto" w:fill="auto"/>
        <w:tabs>
          <w:tab w:pos="3990"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 Nisbet Bain, </w:t>
      </w:r>
      <w:r>
        <w:rPr>
          <w:rFonts w:ascii="Times New Roman" w:eastAsia="Times New Roman" w:hAnsi="Times New Roman" w:cs="Times New Roman"/>
          <w:i/>
          <w:iCs/>
          <w:color w:val="000000"/>
          <w:spacing w:val="0"/>
          <w:w w:val="100"/>
          <w:position w:val="0"/>
          <w:shd w:val="clear" w:color="auto" w:fill="auto"/>
          <w:lang w:val="en-US" w:eastAsia="en-US" w:bidi="en-US"/>
        </w:rPr>
        <w:t>Gustavus III. and his Contemporaries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 vol. i; Bernhard </w:t>
      </w:r>
      <w:r>
        <w:rPr>
          <w:rFonts w:ascii="Times New Roman" w:eastAsia="Times New Roman" w:hAnsi="Times New Roman" w:cs="Times New Roman"/>
          <w:color w:val="000000"/>
          <w:spacing w:val="0"/>
          <w:w w:val="100"/>
          <w:position w:val="0"/>
          <w:shd w:val="clear" w:color="auto" w:fill="auto"/>
          <w:lang w:val="de-DE" w:eastAsia="de-DE" w:bidi="de-DE"/>
        </w:rPr>
        <w:t xml:space="preserve">von Beskow,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Minne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af Grefve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Tessin </w:t>
      </w:r>
      <w:r>
        <w:rPr>
          <w:rFonts w:ascii="Times New Roman" w:eastAsia="Times New Roman" w:hAnsi="Times New Roman" w:cs="Times New Roman"/>
          <w:color w:val="000000"/>
          <w:spacing w:val="0"/>
          <w:w w:val="100"/>
          <w:position w:val="0"/>
          <w:shd w:val="clear" w:color="auto" w:fill="auto"/>
          <w:lang w:val="en-US" w:eastAsia="en-US" w:bidi="en-US"/>
        </w:rPr>
        <w:t xml:space="preserve">(Stockholm, 1864); Bernhard Elis Malmström, </w:t>
      </w:r>
      <w:r>
        <w:rPr>
          <w:rFonts w:ascii="Times New Roman" w:eastAsia="Times New Roman" w:hAnsi="Times New Roman" w:cs="Times New Roman"/>
          <w:i/>
          <w:iCs/>
          <w:color w:val="000000"/>
          <w:spacing w:val="0"/>
          <w:w w:val="100"/>
          <w:position w:val="0"/>
          <w:shd w:val="clear" w:color="auto" w:fill="auto"/>
          <w:lang w:val="en-US" w:eastAsia="en-US" w:bidi="en-US"/>
        </w:rPr>
        <w:t>Sveriges politiska historia från Konung Karl XII.'s dod till statshvälfningen,</w:t>
      </w:r>
      <w:r>
        <w:rPr>
          <w:rFonts w:ascii="Times New Roman" w:eastAsia="Times New Roman" w:hAnsi="Times New Roman" w:cs="Times New Roman"/>
          <w:color w:val="000000"/>
          <w:spacing w:val="0"/>
          <w:w w:val="100"/>
          <w:position w:val="0"/>
          <w:shd w:val="clear" w:color="auto" w:fill="auto"/>
          <w:lang w:val="en-US" w:eastAsia="en-US" w:bidi="en-US"/>
        </w:rPr>
        <w:t xml:space="preserve"> 1772 (Stockholm, 1893-1901).</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 ACTS. </w:t>
      </w:r>
      <w:r>
        <w:rPr>
          <w:rFonts w:ascii="Times New Roman" w:eastAsia="Times New Roman" w:hAnsi="Times New Roman" w:cs="Times New Roman"/>
          <w:color w:val="000000"/>
          <w:spacing w:val="0"/>
          <w:w w:val="100"/>
          <w:position w:val="0"/>
          <w:shd w:val="clear" w:color="auto" w:fill="auto"/>
          <w:lang w:val="en-US" w:eastAsia="en-US" w:bidi="en-US"/>
        </w:rPr>
        <w:t>The principle that none but persons professing the established religion were eligible for public employment was adopted by the legislatures of both England and Scotland soon after the Reformation. In England the Acts of Supremacy and Uniformity and the severe penalties denounced against recusants, whether Roman Catholic or Nonconformist, were affirmations of this principle. The Act of 7 Jac. I. c. 2 provided that all such as were naturalized or restored in blood should receive the sacrament of the Lord’s Supper. It was not, how</w:t>
        <w:softHyphen/>
        <w:t>ever, until the reign of Charles II. that actual receiving of the communion of the Church of England was made a condition precedent to the holding of public offices. The earliest imposi</w:t>
        <w:softHyphen/>
        <w:t>tion of this test was by the Corporation Act of 1661 (13 Car. II. st. 2, c. 1), enacting that, besides taking the oath of allegiance and supremacy and subscribing a declaration against the Solemn League and Covenant, all members of corporations were within one year after election to receive the sacrament of the Lord’s Supper according to the rites of the Church of Eng</w:t>
        <w:softHyphen/>
        <w:t xml:space="preserve">land. This act was followed by the Test Act of 1672 (25 Car. II. c. 2). The immediate cause of the Test Act (the full title of which is “ An act for preventing dangers which may happen </w:t>
      </w:r>
      <w:r>
        <w:rPr>
          <w:rFonts w:ascii="Times New Roman" w:eastAsia="Times New Roman" w:hAnsi="Times New Roman" w:cs="Times New Roman"/>
          <w:color w:val="000000"/>
          <w:spacing w:val="0"/>
          <w:w w:val="100"/>
          <w:position w:val="0"/>
          <w:shd w:val="clear" w:color="auto" w:fill="auto"/>
          <w:lang w:val="en-US" w:eastAsia="en-US" w:bidi="en-US"/>
        </w:rPr>
        <w:t>from popish recusants ”) was the king’s declaration of indulgence, dispensing with laws inflicting disabilities on Nonconformists. This act enforced upon all persons filling any office, civil or military, the obligation of taking the oaths of supremacy and allegiance and subscribing a declaration against transubstantiation, and also of receiving the sacrament within three months after admittance to office. The act did not extend to peers; but in 1678 30 Car. II. st. 2 enacted that all peers and members of the House of Commons should make a declaration against transubstantiation, invocation of saints, and the sacrifice of the mass—a special exception being made in favour of the duke of York. The provisions of the Test Act were violated by both Charles II. and James II. on the ground of the dispens</w:t>
        <w:softHyphen/>
        <w:t xml:space="preserve">ing power claimed by the Stuart kings. In the well-known case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Godden</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Hales</w:t>
      </w:r>
      <w:r>
        <w:rPr>
          <w:rFonts w:ascii="Times New Roman" w:eastAsia="Times New Roman" w:hAnsi="Times New Roman" w:cs="Times New Roman"/>
          <w:color w:val="000000"/>
          <w:spacing w:val="0"/>
          <w:w w:val="100"/>
          <w:position w:val="0"/>
          <w:shd w:val="clear" w:color="auto" w:fill="auto"/>
          <w:lang w:val="en-US" w:eastAsia="en-US" w:bidi="en-US"/>
        </w:rPr>
        <w:t xml:space="preserve"> (11 State Trials, 1166), an action for penalties under the Test Act brought against an officer in the army, the judges decided in favour of the dispensing power—a power finally abolished by the Bill of Rights. After a considerable number of amendments and partial repeals by the legislature of the acts of 1661, 1672 and 1678, and of acts of indemnity to protect persons under certain circumstances from penalties incurred under the Test Act, the necessity of receiving the sacrament as a qualification for office was abolished by 9 Geo. IV. c. 17, and all acts requiring the taking of oaths and declarations against transubstantiation, &amp;c., were repealed by the Roman Catholic Relief Act of 1829 (10 Geo. IV. c. 7). This general repeal has been followed by the special repeal of the Corporation Act by the Promissory Oaths Act 1871, of the Test Act by the Statute Law Revision Act 1863, and of the act of 1678 by an act of 1866 (29 &amp; 30 Vict. c. 19). Religious tests remained in the English universities until 1871, in Dublin University until 1873, and the Scottish universities until 1889. To be a member of the Church of England was a necessary condition precedent for holding most university or college offices by the Act of Uniformity of 1662, and such offices were not affected by the Toleration Act of 1688 and the Roman Catholic Relief Act of 1829. In 1871 the University Tests Act abolished sub</w:t>
        <w:softHyphen/>
        <w:t>scriptions to the articles of the Church of England, all declara</w:t>
        <w:softHyphen/>
        <w:t>tions and oaths respecting religious belief, and all compulsory attendance at public worship in the universities of Oxford, Cambridge and Durham. There is an exception confining to persons in holy orders of the Church of England degrees in divinity and positions restricted to persons in holy orders, such as the divinity and Hebrew’ professorships.</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A religious test was imposed immediately after the Reformation. By 1567, c. 9, no one was to be appointed to a public office or to be a notary who did not profess the Reformed religion. The Scottish Test Act was 1681, c. 6, rescinded by 1690, c. 7. Re</w:t>
        <w:softHyphen/>
        <w:t>nunciation of popery was to be made by persons employed in education (1700, c. 3). A motion to add, after the 18th article of union, an exemption of Scotsmen from the sacramental test in the United Kingdom was negatived by the Scottish parliament. A similar fate awaited a proposal that while a sacramental test was in force in England all persons in public office in Scotland should subscribe their adhesion to the Presbyterian Church government. By 1707, c. 6, all professors, principals, regents, masters or others bearing office in any university, college or school in Scotland were to profess and subscribe to the Confession of Faith. All persons were to be free of any oath or test contrary to or inconsistent with the Protestant religion and Presbyterian Church government. The reception of the communion was never a part of the test in Scotland as in England and Ireland. The necessity for subscription to the Confession of Faith by persons holding a university office (other than that of principal or professor of theology) was removed by 16 &amp; 17 Vict. c. 89. The act provided that in place of subscription every person appointed to a university office was to subscribe a declaration according to the form in the act, promising not to teach any opinions opposed to the divine authority of Scripture or to the Confession of Faith, and to do nothing to the prejudice of the Church of Scotland or its doctrines and privileges. All tests were finally abolished by an act of 1889 (52 &amp; 53 Vict. c. 55).</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An oath of allegiance was required by the Irish Act of Supremacy (2 Eliz. c. 1). The English Act of 3 Will. &amp; Μ. c. 2 substituted other oaths and enforced in addition from peers, members of the House of Commons, bishops, barristers, attorneys and others a declaration against transubstantiation, invocation of the Virgin Mary and the saints, and the sacrifice of the mass. By the Irish Act of 2 Anne, c. 6, every person admitted to any office,</w:t>
      </w:r>
    </w:p>
    <w:sectPr>
      <w:footnotePr>
        <w:pos w:val="pageBottom"/>
        <w:numFmt w:val="decimal"/>
        <w:numRestart w:val="continuous"/>
      </w:footnotePr>
      <w:pgSz w:w="12240" w:h="15840"/>
      <w:pgMar w:top="1156" w:left="1083" w:right="1016"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