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Antioch, where she was exposed to wild beasts, then fastened to bulls in order that she might be torn asunder, and finally thrown into a pit full of serpents; but she was delivered from all these perils. She converted many heathen. Returning to Iconium, she withdrew into a mountain solitude, and became distin</w:t>
        <w:softHyphen/>
        <w:t xml:space="preserve">guished by many virtues and miracles. In spite of their highly fabulous character, which caused them to be more than once condemned by the Church,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w:t>
      </w:r>
      <w:r>
        <w:rPr>
          <w:color w:val="000000"/>
          <w:spacing w:val="0"/>
          <w:w w:val="100"/>
          <w:position w:val="0"/>
          <w:shd w:val="clear" w:color="auto" w:fill="auto"/>
          <w:lang w:val="en-US" w:eastAsia="en-US" w:bidi="en-US"/>
        </w:rPr>
        <w:t xml:space="preserve"> of Paul and Thecla, which date hack to the 2nd century, are among the most interesting monuments of ancient Christian literature.</w:t>
      </w:r>
    </w:p>
    <w:p>
      <w:pPr>
        <w:pStyle w:val="Style6"/>
        <w:keepNext w:val="0"/>
        <w:keepLines w:val="0"/>
        <w:widowControl w:val="0"/>
        <w:shd w:val="clear" w:color="auto" w:fill="auto"/>
        <w:tabs>
          <w:tab w:pos="4074" w:val="left"/>
        </w:tabs>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Acta Sanctorum,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September, vi. 546-568; J. A. Lipsius,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Acta apostolorum apocrypha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(Leipzig, 1891), i. 235-269; C. Schmidt,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Acta Pauli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(Leipzig, 1905, where an attempt is made to prove that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Acta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of Paul and Thecla formed an integral part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Acta Pauli;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Apocryphal Literature.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 Μ. Ramsay,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The Church in the Roman Empire before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170 (London, 1893), pp. 375 seq.; C. Holzey,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Thekla-Akten, ihre Verbreitung und Beurtheilung in der Kirche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z w:val="16"/>
          <w:szCs w:val="16"/>
          <w:shd w:val="clear" w:color="auto" w:fill="auto"/>
          <w:lang w:val="en-US" w:eastAsia="en-US" w:bidi="en-US"/>
        </w:rPr>
        <w:t>1905).</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(H.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De.)</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THEFT, </w:t>
      </w:r>
      <w:r>
        <w:rPr>
          <w:color w:val="000000"/>
          <w:spacing w:val="0"/>
          <w:w w:val="100"/>
          <w:position w:val="0"/>
          <w:sz w:val="17"/>
          <w:szCs w:val="17"/>
          <w:shd w:val="clear" w:color="auto" w:fill="auto"/>
          <w:lang w:val="en-US" w:eastAsia="en-US" w:bidi="en-US"/>
        </w:rPr>
        <w:t xml:space="preserve">the act of thieving or stealing. In English legal usage the practice is to call this act by its Norman-French name of “ larceny,” but properly theft is a wider term including other forms of wrongful deprivation of the property of another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Larceny).</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O.E. word </w:t>
      </w:r>
      <w:r>
        <w:rPr>
          <w:rFonts w:ascii="Times New Roman" w:eastAsia="Times New Roman" w:hAnsi="Times New Roman" w:cs="Times New Roman"/>
          <w:i/>
          <w:iCs/>
          <w:color w:val="000000"/>
          <w:spacing w:val="0"/>
          <w:w w:val="100"/>
          <w:position w:val="0"/>
          <w:shd w:val="clear" w:color="auto" w:fill="auto"/>
          <w:lang w:val="en-US" w:eastAsia="en-US" w:bidi="en-US"/>
        </w:rPr>
        <w:t>peofoe</w:t>
      </w:r>
      <w:r>
        <w:rPr>
          <w:rFonts w:ascii="Times New Roman" w:eastAsia="Times New Roman" w:hAnsi="Times New Roman" w:cs="Times New Roman"/>
          <w:color w:val="000000"/>
          <w:spacing w:val="0"/>
          <w:w w:val="100"/>
          <w:position w:val="0"/>
          <w:shd w:val="clear" w:color="auto" w:fill="auto"/>
          <w:lang w:val="en-US" w:eastAsia="en-US" w:bidi="en-US"/>
        </w:rPr>
        <w:t xml:space="preserve"> or p</w:t>
      </w:r>
      <w:r>
        <w:rPr>
          <w:rFonts w:ascii="Times New Roman" w:eastAsia="Times New Roman" w:hAnsi="Times New Roman" w:cs="Times New Roman"/>
          <w:i/>
          <w:iCs/>
          <w:color w:val="000000"/>
          <w:spacing w:val="0"/>
          <w:w w:val="100"/>
          <w:position w:val="0"/>
          <w:shd w:val="clear" w:color="auto" w:fill="auto"/>
          <w:lang w:val="en-US" w:eastAsia="en-US" w:bidi="en-US"/>
        </w:rPr>
        <w:t>iefoe</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from </w:t>
      </w:r>
      <w:r>
        <w:rPr>
          <w:rFonts w:ascii="Times New Roman" w:eastAsia="Times New Roman" w:hAnsi="Times New Roman" w:cs="Times New Roman"/>
          <w:i/>
          <w:iCs/>
          <w:color w:val="000000"/>
          <w:spacing w:val="0"/>
          <w:w w:val="100"/>
          <w:position w:val="0"/>
          <w:shd w:val="clear" w:color="auto" w:fill="auto"/>
          <w:lang w:val="en-US" w:eastAsia="en-US" w:bidi="en-US"/>
        </w:rPr>
        <w:t>peof,</w:t>
      </w:r>
      <w:r>
        <w:rPr>
          <w:rFonts w:ascii="Times New Roman" w:eastAsia="Times New Roman" w:hAnsi="Times New Roman" w:cs="Times New Roman"/>
          <w:color w:val="000000"/>
          <w:spacing w:val="0"/>
          <w:w w:val="100"/>
          <w:position w:val="0"/>
          <w:shd w:val="clear" w:color="auto" w:fill="auto"/>
          <w:lang w:val="en-US" w:eastAsia="en-US" w:bidi="en-US"/>
        </w:rPr>
        <w:t xml:space="preserve"> thief or </w:t>
      </w:r>
      <w:r>
        <w:rPr>
          <w:rFonts w:ascii="Times New Roman" w:eastAsia="Times New Roman" w:hAnsi="Times New Roman" w:cs="Times New Roman"/>
          <w:i/>
          <w:iCs/>
          <w:color w:val="000000"/>
          <w:spacing w:val="0"/>
          <w:w w:val="100"/>
          <w:position w:val="0"/>
          <w:shd w:val="clear" w:color="auto" w:fill="auto"/>
          <w:lang w:val="en-US" w:eastAsia="en-US" w:bidi="en-US"/>
        </w:rPr>
        <w:t>peofian,</w:t>
      </w:r>
      <w:r>
        <w:rPr>
          <w:rFonts w:ascii="Times New Roman" w:eastAsia="Times New Roman" w:hAnsi="Times New Roman" w:cs="Times New Roman"/>
          <w:color w:val="000000"/>
          <w:spacing w:val="0"/>
          <w:w w:val="100"/>
          <w:position w:val="0"/>
          <w:shd w:val="clear" w:color="auto" w:fill="auto"/>
          <w:lang w:val="en-US" w:eastAsia="en-US" w:bidi="en-US"/>
        </w:rPr>
        <w:t xml:space="preserve"> to thieve,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Dieb,</w:t>
      </w:r>
      <w:r>
        <w:rPr>
          <w:rFonts w:ascii="Times New Roman" w:eastAsia="Times New Roman" w:hAnsi="Times New Roman" w:cs="Times New Roman"/>
          <w:color w:val="000000"/>
          <w:spacing w:val="0"/>
          <w:w w:val="100"/>
          <w:position w:val="0"/>
          <w:shd w:val="clear" w:color="auto" w:fill="auto"/>
          <w:lang w:val="en-US" w:eastAsia="en-US" w:bidi="en-US"/>
        </w:rPr>
        <w:t xml:space="preserve"> Du. </w:t>
      </w:r>
      <w:r>
        <w:rPr>
          <w:rFonts w:ascii="Times New Roman" w:eastAsia="Times New Roman" w:hAnsi="Times New Roman" w:cs="Times New Roman"/>
          <w:i/>
          <w:iCs/>
          <w:color w:val="000000"/>
          <w:spacing w:val="0"/>
          <w:w w:val="100"/>
          <w:position w:val="0"/>
          <w:shd w:val="clear" w:color="auto" w:fill="auto"/>
          <w:lang w:val="en-US" w:eastAsia="en-US" w:bidi="en-US"/>
        </w:rPr>
        <w:t>dief,</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thiubs.</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 is not known. It may be related to Lithuanian </w:t>
      </w:r>
      <w:r>
        <w:rPr>
          <w:rFonts w:ascii="Times New Roman" w:eastAsia="Times New Roman" w:hAnsi="Times New Roman" w:cs="Times New Roman"/>
          <w:i/>
          <w:iCs/>
          <w:color w:val="000000"/>
          <w:spacing w:val="0"/>
          <w:w w:val="100"/>
          <w:position w:val="0"/>
          <w:shd w:val="clear" w:color="auto" w:fill="auto"/>
          <w:lang w:val="en-US" w:eastAsia="en-US" w:bidi="en-US"/>
        </w:rPr>
        <w:t>tup</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to crouch or squat down; thus “ thief ” would mean "one who hides himself.” The O.E. </w:t>
      </w:r>
      <w:r>
        <w:rPr>
          <w:rFonts w:ascii="Times New Roman" w:eastAsia="Times New Roman" w:hAnsi="Times New Roman" w:cs="Times New Roman"/>
          <w:i/>
          <w:iCs/>
          <w:color w:val="000000"/>
          <w:spacing w:val="0"/>
          <w:w w:val="100"/>
          <w:position w:val="0"/>
          <w:shd w:val="clear" w:color="auto" w:fill="auto"/>
          <w:lang w:val="en-US" w:eastAsia="en-US" w:bidi="en-US"/>
        </w:rPr>
        <w:t>stelan,</w:t>
      </w:r>
      <w:r>
        <w:rPr>
          <w:rFonts w:ascii="Times New Roman" w:eastAsia="Times New Roman" w:hAnsi="Times New Roman" w:cs="Times New Roman"/>
          <w:color w:val="000000"/>
          <w:spacing w:val="0"/>
          <w:w w:val="100"/>
          <w:position w:val="0"/>
          <w:shd w:val="clear" w:color="auto" w:fill="auto"/>
          <w:lang w:val="en-US" w:eastAsia="en-US" w:bidi="en-US"/>
        </w:rPr>
        <w:t xml:space="preserve"> to steal, appears also in other Teut. languages, cf. Du. </w:t>
      </w:r>
      <w:r>
        <w:rPr>
          <w:rFonts w:ascii="Times New Roman" w:eastAsia="Times New Roman" w:hAnsi="Times New Roman" w:cs="Times New Roman"/>
          <w:i/>
          <w:iCs/>
          <w:color w:val="000000"/>
          <w:spacing w:val="0"/>
          <w:w w:val="100"/>
          <w:position w:val="0"/>
          <w:shd w:val="clear" w:color="auto" w:fill="auto"/>
          <w:lang w:val="en-US" w:eastAsia="en-US" w:bidi="en-US"/>
        </w:rPr>
        <w:t>stolen,</w:t>
      </w:r>
      <w:r>
        <w:rPr>
          <w:rFonts w:ascii="Times New Roman" w:eastAsia="Times New Roman" w:hAnsi="Times New Roman" w:cs="Times New Roman"/>
          <w:color w:val="000000"/>
          <w:spacing w:val="0"/>
          <w:w w:val="100"/>
          <w:position w:val="0"/>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hd w:val="clear" w:color="auto" w:fill="auto"/>
          <w:lang w:val="en-US" w:eastAsia="en-US" w:bidi="en-US"/>
        </w:rPr>
        <w:t>stjäla,</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stillan, &amp;c.</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doubt</w:t>
        <w:softHyphen/>
        <w:t xml:space="preserve">fully connected with Gr. </w:t>
      </w:r>
      <w:r>
        <w:rPr>
          <w:rFonts w:ascii="Times New Roman" w:eastAsia="Times New Roman" w:hAnsi="Times New Roman" w:cs="Times New Roman"/>
          <w:i/>
          <w:iCs/>
          <w:color w:val="000000"/>
          <w:spacing w:val="0"/>
          <w:w w:val="100"/>
          <w:position w:val="0"/>
          <w:shd w:val="clear" w:color="auto" w:fill="auto"/>
          <w:lang w:val="en-US" w:eastAsia="en-US" w:bidi="en-US"/>
        </w:rPr>
        <w:t>στeρeιv,</w:t>
      </w:r>
      <w:r>
        <w:rPr>
          <w:rFonts w:ascii="Times New Roman" w:eastAsia="Times New Roman" w:hAnsi="Times New Roman" w:cs="Times New Roman"/>
          <w:color w:val="000000"/>
          <w:spacing w:val="0"/>
          <w:w w:val="100"/>
          <w:position w:val="0"/>
          <w:shd w:val="clear" w:color="auto" w:fill="auto"/>
          <w:lang w:val="en-US" w:eastAsia="en-US" w:bidi="en-US"/>
        </w:rPr>
        <w:t xml:space="preserve"> to deprive.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THEGN,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Thane,</w:t>
      </w:r>
      <w:r>
        <w:rPr>
          <w:color w:val="000000"/>
          <w:spacing w:val="0"/>
          <w:w w:val="100"/>
          <w:position w:val="0"/>
          <w:shd w:val="clear" w:color="auto" w:fill="auto"/>
          <w:lang w:val="en-US" w:eastAsia="en-US" w:bidi="en-US"/>
        </w:rPr>
        <w:t xml:space="preserve"> an Anglo-Saxon word meaning an at</w:t>
        <w:softHyphen/>
        <w:t xml:space="preserve">tendant, servant, retainer or official, and cognate with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reκvov.</w:t>
      </w:r>
      <w:r>
        <w:rPr>
          <w:color w:val="000000"/>
          <w:spacing w:val="0"/>
          <w:w w:val="100"/>
          <w:position w:val="0"/>
          <w:shd w:val="clear" w:color="auto" w:fill="auto"/>
          <w:lang w:val="en-US" w:eastAsia="en-US" w:bidi="en-US"/>
        </w:rPr>
        <w:t xml:space="preserve"> a child. From the first, however, it had a military significance, and its usual Latin translation 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miles,</w:t>
      </w:r>
      <w:r>
        <w:rPr>
          <w:color w:val="000000"/>
          <w:spacing w:val="0"/>
          <w:w w:val="100"/>
          <w:position w:val="0"/>
          <w:shd w:val="clear" w:color="auto" w:fill="auto"/>
          <w:lang w:val="en-US" w:eastAsia="en-US" w:bidi="en-US"/>
        </w:rPr>
        <w:t xml:space="preserve"> although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minister</w:t>
      </w:r>
      <w:r>
        <w:rPr>
          <w:color w:val="000000"/>
          <w:spacing w:val="0"/>
          <w:w w:val="100"/>
          <w:position w:val="0"/>
          <w:shd w:val="clear" w:color="auto" w:fill="auto"/>
          <w:lang w:val="en-US" w:eastAsia="en-US" w:bidi="en-US"/>
        </w:rPr>
        <w:t xml:space="preserve"> was often used. J. Bosworth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(Anglo-Saxon Dictionary, </w:t>
      </w:r>
      <w:r>
        <w:rPr>
          <w:color w:val="000000"/>
          <w:spacing w:val="0"/>
          <w:w w:val="100"/>
          <w:position w:val="0"/>
          <w:shd w:val="clear" w:color="auto" w:fill="auto"/>
          <w:lang w:val="en-US" w:eastAsia="en-US" w:bidi="en-US"/>
        </w:rPr>
        <w:t xml:space="preserve">new ed. by T.N. Toller) describes a thegn as “one engaged in a king’s or a queen’s service, whether in the household or in the country,” and adds, “ the word in this case seems gradually to acquire a technical meaning, and to become a term denoting a class, containing, however, several degrees.” The precursor of the thegn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gesith,</w:t>
      </w:r>
      <w:r>
        <w:rPr>
          <w:color w:val="000000"/>
          <w:spacing w:val="0"/>
          <w:w w:val="100"/>
          <w:position w:val="0"/>
          <w:shd w:val="clear" w:color="auto" w:fill="auto"/>
          <w:lang w:val="en-US" w:eastAsia="en-US" w:bidi="en-US"/>
        </w:rPr>
        <w:t xml:space="preserve"> the companion of the king or great lord, the member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comitatus,</w:t>
      </w:r>
      <w:r>
        <w:rPr>
          <w:color w:val="000000"/>
          <w:spacing w:val="0"/>
          <w:w w:val="100"/>
          <w:position w:val="0"/>
          <w:shd w:val="clear" w:color="auto" w:fill="auto"/>
          <w:lang w:val="en-US" w:eastAsia="en-US" w:bidi="en-US"/>
        </w:rPr>
        <w:t xml:space="preserve"> and the word thegn began to he used to describe a military ges</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th. It is only used once in the laws before the time of </w:t>
      </w:r>
      <w:r>
        <w:rPr>
          <w:color w:val="000000"/>
          <w:spacing w:val="0"/>
          <w:w w:val="100"/>
          <w:position w:val="0"/>
          <w:shd w:val="clear" w:color="auto" w:fill="auto"/>
          <w:lang w:val="de-DE" w:eastAsia="de-DE" w:bidi="de-DE"/>
        </w:rPr>
        <w:t xml:space="preserve">Aethelstan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895-940), but more frequently in the charters. H. Μ. Chadwick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(Studies on Anglo- Saxon Institutions,</w:t>
      </w:r>
      <w:r>
        <w:rPr>
          <w:color w:val="000000"/>
          <w:spacing w:val="0"/>
          <w:w w:val="100"/>
          <w:position w:val="0"/>
          <w:shd w:val="clear" w:color="auto" w:fill="auto"/>
          <w:lang w:val="en-US" w:eastAsia="en-US" w:bidi="en-US"/>
        </w:rPr>
        <w:t xml:space="preserve"> 1905) says that “ the sense of subordination must have been inherent in the word from the earliest time,” but it has no connexion with the German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dienen,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to serve. In the course of time it extended its meaning and was more generally used. The thegn became a member of a territorial nobility, and the dignity of thegnhood was attainable by those who fulfilled certain conditions. Thus from á document of uncertain date, possibly about the time of Alfred the Great, and translated by Stubbs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 Charters')</w:t>
      </w:r>
      <w:r>
        <w:rPr>
          <w:color w:val="000000"/>
          <w:spacing w:val="0"/>
          <w:w w:val="100"/>
          <w:position w:val="0"/>
          <w:shd w:val="clear" w:color="auto" w:fill="auto"/>
          <w:lang w:val="en-US" w:eastAsia="en-US" w:bidi="en-US"/>
        </w:rPr>
        <w:t xml:space="preserve"> as “ Of people’s ranks and laws,” we learn:—“ And if a ceorl throve, so that he had fully five hides of his own land, church and kitchen, bell</w:t>
        <w:softHyphen/>
        <w:t xml:space="preserve">house and burh-gate-seat, and special duty in the king’s hall, then was he thenceforth of thegn-right worthy.” And again— “ And if a merchant throve, so that he fared thrice over the wide sea by his own means, then was he thenceforth of thegn-right worthy.” In like manner a successful thegn might hope to become an earl. In addition to the thegns there were others who were thegns on account of their birth, and thus thegnhood was partly inherited and partly acquired. The thegn was inferior to the aethel, the member of a kingly family, but he was superior to the ceorl, and, says Chadwick,” from the time of </w:t>
      </w:r>
      <w:r>
        <w:rPr>
          <w:color w:val="000000"/>
          <w:spacing w:val="0"/>
          <w:w w:val="100"/>
          <w:position w:val="0"/>
          <w:shd w:val="clear" w:color="auto" w:fill="auto"/>
          <w:lang w:val="de-DE" w:eastAsia="de-DE" w:bidi="de-DE"/>
        </w:rPr>
        <w:t xml:space="preserve">Aethelstan </w:t>
      </w:r>
      <w:r>
        <w:rPr>
          <w:color w:val="000000"/>
          <w:spacing w:val="0"/>
          <w:w w:val="100"/>
          <w:position w:val="0"/>
          <w:shd w:val="clear" w:color="auto" w:fill="auto"/>
          <w:lang w:val="en-US" w:eastAsia="en-US" w:bidi="en-US"/>
        </w:rPr>
        <w:t>the distinction between thegn and ceorl was the broad line of demarcation between the classes of society.” His status is shown by his wergild. Over a large part of England this was fixed at 1200 shillings, or six times that of the ceorl. He was the twelfhynde man of the laws, sharply divided from the twyhynde man or ceorl.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increase in the number of thegns produced in time a subdivision of the order. There arose a class of king’s thegns, </w:t>
      </w:r>
      <w:r>
        <w:rPr>
          <w:color w:val="000000"/>
          <w:spacing w:val="0"/>
          <w:w w:val="100"/>
          <w:position w:val="0"/>
          <w:shd w:val="clear" w:color="auto" w:fill="auto"/>
          <w:lang w:val="en-US" w:eastAsia="en-US" w:bidi="en-US"/>
        </w:rPr>
        <w:t>corresponding to the earlier thegns, and a larger class of inferior thegns, some of them the thegns of bishops or of other thegns. A king’s thegn was a person of great importance, the con</w:t>
        <w:softHyphen/>
        <w:t xml:space="preserve">temporary idea being shown by the Latin translation of the words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comes.</w:t>
      </w:r>
      <w:r>
        <w:rPr>
          <w:color w:val="000000"/>
          <w:spacing w:val="0"/>
          <w:w w:val="100"/>
          <w:position w:val="0"/>
          <w:shd w:val="clear" w:color="auto" w:fill="auto"/>
          <w:lang w:val="en-US" w:eastAsia="en-US" w:bidi="en-US"/>
        </w:rPr>
        <w:t xml:space="preserve"> He had certain special privileges. No one save the king had the right of jurisdiction over him, while by a law of Canute we learn that he paid a larger heriot than an ordinary thegn.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But, like all other words of the kind, the word thegn was slowly changing its meaning, and, as Stubbs says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(Const. Hist., </w:t>
      </w:r>
      <w:r>
        <w:rPr>
          <w:color w:val="000000"/>
          <w:spacing w:val="0"/>
          <w:w w:val="100"/>
          <w:position w:val="0"/>
          <w:shd w:val="clear" w:color="auto" w:fill="auto"/>
          <w:lang w:val="en-US" w:eastAsia="en-US" w:bidi="en-US"/>
        </w:rPr>
        <w:t>vol. i.), “ the very name, like that of the gesith, has different senses in different ages and kingdoms, but the original idea of military service runs through all the meanings of thegn, as that of personal association is traceable in all the applications of gesith.” After the Norman Conquest the thegns appear to have been merged in the class of knights.</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twelve senior thegns of the hundred play a part, the nature of which is rather doubtful, in the development of the English system of justice. By a law of </w:t>
      </w:r>
      <w:r>
        <w:rPr>
          <w:color w:val="000000"/>
          <w:spacing w:val="0"/>
          <w:w w:val="100"/>
          <w:position w:val="0"/>
          <w:shd w:val="clear" w:color="auto" w:fill="auto"/>
          <w:lang w:val="de-DE" w:eastAsia="de-DE" w:bidi="de-DE"/>
        </w:rPr>
        <w:t xml:space="preserve">Aethelred </w:t>
      </w:r>
      <w:r>
        <w:rPr>
          <w:color w:val="000000"/>
          <w:spacing w:val="0"/>
          <w:w w:val="100"/>
          <w:position w:val="0"/>
          <w:shd w:val="clear" w:color="auto" w:fill="auto"/>
          <w:lang w:val="en-US" w:eastAsia="en-US" w:bidi="en-US"/>
        </w:rPr>
        <w:t xml:space="preserve">they “ seem to have acted as the judicial committee of the court for the purposes of accusation ”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S. Holdsworth,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English Law,</w:t>
      </w:r>
      <w:r>
        <w:rPr>
          <w:color w:val="000000"/>
          <w:spacing w:val="0"/>
          <w:w w:val="100"/>
          <w:position w:val="0"/>
          <w:shd w:val="clear" w:color="auto" w:fill="auto"/>
          <w:lang w:val="en-US" w:eastAsia="en-US" w:bidi="en-US"/>
        </w:rPr>
        <w:t xml:space="preserve"> vol. i. 1903), and thus they have some connexion with the grand jury of modern times.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word thane was used in Scotland until the 15th century, to describe an hereditary non-military tenant of the crown.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THEINNI,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Hsenwi,</w:t>
      </w:r>
      <w:r>
        <w:rPr>
          <w:color w:val="000000"/>
          <w:spacing w:val="0"/>
          <w:w w:val="100"/>
          <w:position w:val="0"/>
          <w:shd w:val="clear" w:color="auto" w:fill="auto"/>
          <w:lang w:val="en-US" w:eastAsia="en-US" w:bidi="en-US"/>
        </w:rPr>
        <w:t xml:space="preserve"> one of the Northern Shan States of Burma. It is called by the Shans Hsenwi, and also officially so designated, but is better known by the Burmanized name of Theinni. It was by far the largest of the cis-Salween Shan states, and at one time included not only all the territory of the present states of North and South Hsenwi, but also Kehsi Mansam, M</w:t>
      </w:r>
      <w:r>
        <w:rPr>
          <w:rFonts w:ascii="Times New Roman" w:eastAsia="Times New Roman" w:hAnsi="Times New Roman" w:cs="Times New Roman"/>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ng Hsu, Möng Sang, and Möng Nawng, besides having a sort of protectorate over Mang Lön and other Wa states east of the Salween. These had, however, fallen away in Burmese times, and at the period before the British annexation Theinni was divided into five parts by name; but there was no central authority, and the whole state was in hopeless disorder. This continued until the appearance of British troops in March 1888, when it was divided into two states—North Theinni, which was assigned to a successful adventurer, Hkun Sang, of Ton Hông, and South Theinni, which went to Nawmöng, of the old Shan ruling house. North Theinni has an area of 6330 sq. m., and a population (1901) of 118,325 persons; estimated revenue, £6000. South Theinni has an area of 2400 sq. m., with a population (in 1901) of 67,836; estimated revenue, £4800.</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northern part of North Theinni is a mass of hills affected by the geological fault which has produced the rift that forms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or Myit-ngè valley, and has thrown up a series of parallel ranges which extend northwards to the Shweli (Lung Kiang), without altogether destroying the north and south trend which is the characteristic of the Shan hills as a whole. In the valleys between these hills are numerous tracts under rice cultivation, some circular or oval, some mere ribands along the river banks. The southern portion has much more flat land, along the line of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its tributaries the Nam Yao and the Nam Nim, and the Nam Yek flowing into the Salween. This was formerly thickly populated, and still remains the most valuable portion of the state. A range running westwards from the Salween, and marking the southern border of the rift in the hills, divides North from South Theinni. Both north and south of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peaks which rise to 6000 ft., and several over 7000 ft. The northern portion is almost consistent enough in its altitude of about 4000 ft. to be called a plateau. It has large, grassy, upland downs. This part of the state has fallen almost entirely into the hands of the Kachins. The Shans are found in the Nam Mao (Shweli or Lung Kiang) valley, and in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valleys in the southern part of the state. The line of the Nam Mao is the lowest portion of North Theinni, being little over 2000 ft. above sea-level. The southern valleys are about 500 or more ft. higher. South Theinni is practically bisected by the huge mass of </w:t>
      </w:r>
      <w:r>
        <w:rPr>
          <w:rFonts w:ascii="Times New Roman" w:eastAsia="Times New Roman" w:hAnsi="Times New Roman" w:cs="Times New Roman"/>
          <w:color w:val="000000"/>
          <w:spacing w:val="0"/>
          <w:w w:val="100"/>
          <w:position w:val="0"/>
          <w:shd w:val="clear" w:color="auto" w:fill="auto"/>
          <w:lang w:val="fr-FR" w:eastAsia="fr-FR" w:bidi="fr-FR"/>
        </w:rPr>
        <w:t xml:space="preserve">Loi’ </w:t>
      </w:r>
      <w:r>
        <w:rPr>
          <w:rFonts w:ascii="Times New Roman" w:eastAsia="Times New Roman" w:hAnsi="Times New Roman" w:cs="Times New Roman"/>
          <w:color w:val="000000"/>
          <w:spacing w:val="0"/>
          <w:w w:val="100"/>
          <w:position w:val="0"/>
          <w:shd w:val="clear" w:color="auto" w:fill="auto"/>
          <w:lang w:val="en-US" w:eastAsia="en-US" w:bidi="en-US"/>
        </w:rPr>
        <w:t>Ling, nearly 9000 ft. above sea-level, and by the spurs which that peak sends north and south. Apart from this it consists of broken hill-country of no great height, or open rolling downs, the latter chiefly in the eastern half of the state. It is watered by numerous streams, of which the chief is the Nam Pang, an affluent of the Salween. The chief river in the northern state, apart from the Salween, is the Nam</w:t>
      </w:r>
    </w:p>
    <w:sectPr>
      <w:footnotePr>
        <w:pos w:val="pageBottom"/>
        <w:numFmt w:val="decimal"/>
        <w:numRestart w:val="continuous"/>
      </w:footnotePr>
      <w:pgSz w:w="12240" w:h="15840"/>
      <w:pgMar w:top="1343" w:left="1096" w:right="1056"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