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7"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Tu </w:t>
      </w:r>
      <w:r>
        <w:rPr>
          <w:rFonts w:ascii="Times New Roman" w:eastAsia="Times New Roman" w:hAnsi="Times New Roman" w:cs="Times New Roman"/>
          <w:color w:val="000000"/>
          <w:spacing w:val="0"/>
          <w:w w:val="100"/>
          <w:position w:val="0"/>
          <w:shd w:val="clear" w:color="auto" w:fill="auto"/>
          <w:lang w:val="en-US" w:eastAsia="en-US" w:bidi="en-US"/>
        </w:rPr>
        <w:t xml:space="preserve">or Myit-ngè, which rises on the Irrawaddy-Salween watershed, not far from the latter river, and flows westwards through the state into Taungbaing or Thibaw, and eventually into the Irrawaddy at Amarapura. The Nam Mao or Shweli only skirts the state, but it receives a considerable tributary, the Nam Paw, which has its entire course in Theinni territory, and is large enough to be barely fordable in the dry weather, and only passable by boats in the rains. The deforestation caused by years of upland cultivation has dried up many of the springs, but as a whole North Theinni is very well watered. Considerable deposits of coal, or rather of lignite, exist in both North and South Theinni, but do not appear to be of high quality. Gold is washed in many of the streams in a fitful way. Limestone exists in large quantities. No valuable timber exists to any considerable extent. There is some teak in the Nam Yao valley, and scattered wood-oil trees exist. Pine forests cover some of the ranges, but, as elsewhere in the Shan states, varieties of the oak and chestnut are the commonest forest trees. The climate of the state as a whole is temperate. In the plains of the uplands there are yearly frosts in January, February and March, but in the greater part of the state the thermometer rarely falls to freezing-point, and in the hot weather does not exceed ninety degrees for any length of time. The average rainfall seems to be about 60 in. yearly. After the disruption of the ancient Shan empire at Tali by Kublai Khan, Theinni seems to have been the centre of the independent Shan kingdom, with various capitals in the Shweli and Nam </w:t>
      </w:r>
      <w:r>
        <w:rPr>
          <w:rFonts w:ascii="Times New Roman" w:eastAsia="Times New Roman" w:hAnsi="Times New Roman" w:cs="Times New Roman"/>
          <w:color w:val="000000"/>
          <w:spacing w:val="0"/>
          <w:w w:val="100"/>
          <w:position w:val="0"/>
          <w:shd w:val="clear" w:color="auto" w:fill="auto"/>
          <w:lang w:val="de-DE" w:eastAsia="de-DE" w:bidi="de-DE"/>
        </w:rPr>
        <w:t xml:space="preserve">Tu </w:t>
      </w:r>
      <w:r>
        <w:rPr>
          <w:rFonts w:ascii="Times New Roman" w:eastAsia="Times New Roman" w:hAnsi="Times New Roman" w:cs="Times New Roman"/>
          <w:color w:val="000000"/>
          <w:spacing w:val="0"/>
          <w:w w:val="100"/>
          <w:position w:val="0"/>
          <w:shd w:val="clear" w:color="auto" w:fill="auto"/>
          <w:lang w:val="en-US" w:eastAsia="en-US" w:bidi="en-US"/>
        </w:rPr>
        <w:t>valleys. This kingdom of Kawsampi was ended by the Burmese about 1738, and the country was divided into various states, with appointment orders from Ava. Numerous rebellions and civil wars have reduced Theinni from its position as the most powerful and populous Shan state to a condition of fearful desolation. It has regained much population since the British occupation in 1888, but is still far from its old prosperity. Much may be expected from the cart roads that have been made, and from the Mandalay-Kun long Railway.</w:t>
      </w:r>
    </w:p>
    <w:p>
      <w:pPr>
        <w:pStyle w:val="Style3"/>
        <w:keepNext w:val="0"/>
        <w:keepLines w:val="0"/>
        <w:widowControl w:val="0"/>
        <w:shd w:val="clear" w:color="auto" w:fill="auto"/>
        <w:tabs>
          <w:tab w:pos="3967" w:val="left"/>
        </w:tabs>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Hsenwi, the capital of North Theinni, stands near the north bank of the Nam </w:t>
      </w:r>
      <w:r>
        <w:rPr>
          <w:rFonts w:ascii="Times New Roman" w:eastAsia="Times New Roman" w:hAnsi="Times New Roman" w:cs="Times New Roman"/>
          <w:color w:val="000000"/>
          <w:spacing w:val="0"/>
          <w:w w:val="100"/>
          <w:position w:val="0"/>
          <w:shd w:val="clear" w:color="auto" w:fill="auto"/>
          <w:lang w:val="de-DE" w:eastAsia="de-DE" w:bidi="de-DE"/>
        </w:rPr>
        <w:t xml:space="preserve">Tu. </w:t>
      </w:r>
      <w:r>
        <w:rPr>
          <w:rFonts w:ascii="Times New Roman" w:eastAsia="Times New Roman" w:hAnsi="Times New Roman" w:cs="Times New Roman"/>
          <w:color w:val="000000"/>
          <w:spacing w:val="0"/>
          <w:w w:val="100"/>
          <w:position w:val="0"/>
          <w:shd w:val="clear" w:color="auto" w:fill="auto"/>
          <w:lang w:val="en-US" w:eastAsia="en-US" w:bidi="en-US"/>
        </w:rPr>
        <w:t>The ruins of the old capital lie at a short distance, and show it to have been a large and well-built town, with a number of houses variously estimated at from three to ten thousand. Möng Yai is the capital of South Theinni, with a popu</w:t>
        <w:softHyphen/>
        <w:t>lation of about 2000. Lashio, the headquarters of the super</w:t>
        <w:softHyphen/>
        <w:t>intendent of the Northern Shan State, is in North Theinni. The races found in Theinni comprise Shans, Kachins, Chinese, Burmese, Lihsaws, Wa, Palaungs and Yanglam. The Shans and Kachins vastly predominate, and are nearly equal in numbers.</w:t>
        <w:tab/>
        <w:t>(J. G. Sc.)</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THEISM (Gr.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θ</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ϵό</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w:t>
      </w:r>
      <w:r>
        <w:rPr>
          <w:color w:val="000000"/>
          <w:spacing w:val="0"/>
          <w:w w:val="100"/>
          <w:position w:val="0"/>
          <w:shd w:val="clear" w:color="auto" w:fill="auto"/>
          <w:lang w:val="en-US" w:eastAsia="en-US" w:bidi="en-US"/>
        </w:rPr>
        <w:t xml:space="preserve"> god), literally, and in its widest sense, the belief in a god or gods. The term has had several changes of meaning. (1) It appears for the first time in 18th-century English as an occasional synonym for “ deism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(q.v.),</w:t>
      </w:r>
      <w:r>
        <w:rPr>
          <w:color w:val="000000"/>
          <w:spacing w:val="0"/>
          <w:w w:val="100"/>
          <w:position w:val="0"/>
          <w:shd w:val="clear" w:color="auto" w:fill="auto"/>
          <w:lang w:val="en-US" w:eastAsia="en-US" w:bidi="en-US"/>
        </w:rPr>
        <w:t xml:space="preserve"> and therefore as applying to those who believed in God but not in Christianity. Later criticism, orthodox and heterodox, upon the English deists inclines to charge them with the conception of a divine absentee, who wound up the machine of nature and left it to run untended. That was the general 18th-century way of thinking. God was apt to be thought of as purely transcendent, not immanent in the world. (2) In the 19th century theism is generally used of positive belief in God, either with or without belief in the claim of Christianity to be a revelation, but unassociated with any peculiarities of 18th- century deists. If the word “ deism ” emphasizes a negative element—rejection of church Christianity—“ theism ” generally emphasizes the positive element—belief in God. (3) There is also a third usage. “ Theism ” was reclaimed by Theodore Parker,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W. Newman, Frances Power Cobbe, and others, for their more modern speculative belief in God, which, while non-Christian or at least non-orthodox, held to an immanent God, continually revealing himself—in the moral consciousness. The ambiguity cannot be cured. We use the word in this article in the second sense.@@</w:t>
      </w:r>
      <w:r>
        <w:rPr>
          <w:color w:val="000000"/>
          <w:spacing w:val="0"/>
          <w:w w:val="100"/>
          <w:position w:val="0"/>
          <w:shd w:val="clear" w:color="auto" w:fill="auto"/>
          <w:vertAlign w:val="superscript"/>
          <w:lang w:val="en-US" w:eastAsia="en-US" w:bidi="en-US"/>
        </w:rPr>
        <w:t>1</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 From this point of view theism is a synonym for Natural Theology, or almost so. But the expression Natural Theology itself has a history. (1) The “three theologies”— recognized by the early Roman Stoics—probably on the suggestion of a passage in Aristotle’s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Metaphysics,</w:t>
      </w:r>
      <w:r>
        <w:rPr>
          <w:color w:val="000000"/>
          <w:spacing w:val="0"/>
          <w:w w:val="100"/>
          <w:position w:val="0"/>
          <w:shd w:val="clear" w:color="auto" w:fill="auto"/>
          <w:lang w:val="en-US" w:eastAsia="en-US" w:bidi="en-US"/>
        </w:rPr>
        <w:t xml:space="preserve"> xi. 8— are named by St Augustine (Latinizing the Greek terms)</w:t>
      </w:r>
    </w:p>
    <w:p>
      <w:pPr>
        <w:pStyle w:val="Style5"/>
        <w:keepNext w:val="0"/>
        <w:keepLines w:val="0"/>
        <w:widowControl w:val="0"/>
        <w:shd w:val="clear" w:color="auto" w:fill="auto"/>
        <w:bidi w:val="0"/>
        <w:spacing w:line="230" w:lineRule="auto"/>
        <w:ind w:left="0" w:firstLine="0"/>
        <w:jc w:val="left"/>
        <w:rPr>
          <w:sz w:val="18"/>
          <w:szCs w:val="18"/>
        </w:rPr>
      </w:pPr>
      <w:r>
        <w:rPr>
          <w:color w:val="000000"/>
          <w:spacing w:val="0"/>
          <w:w w:val="100"/>
          <w:position w:val="0"/>
          <w:sz w:val="17"/>
          <w:szCs w:val="17"/>
          <w:shd w:val="clear" w:color="auto" w:fill="auto"/>
          <w:lang w:val="en-US" w:eastAsia="en-US" w:bidi="en-US"/>
        </w:rPr>
        <w:t xml:space="preserve">mythical,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natural,</w:t>
      </w:r>
      <w:r>
        <w:rPr>
          <w:color w:val="000000"/>
          <w:spacing w:val="0"/>
          <w:w w:val="100"/>
          <w:position w:val="0"/>
          <w:sz w:val="17"/>
          <w:szCs w:val="17"/>
          <w:shd w:val="clear" w:color="auto" w:fill="auto"/>
          <w:lang w:val="en-US" w:eastAsia="en-US" w:bidi="en-US"/>
        </w:rPr>
        <w:t xml:space="preserve"> and civil or political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(City of God,</w:t>
      </w:r>
      <w:r>
        <w:rPr>
          <w:color w:val="000000"/>
          <w:spacing w:val="0"/>
          <w:w w:val="100"/>
          <w:position w:val="0"/>
          <w:sz w:val="17"/>
          <w:szCs w:val="17"/>
          <w:shd w:val="clear" w:color="auto" w:fill="auto"/>
          <w:lang w:val="en-US" w:eastAsia="en-US" w:bidi="en-US"/>
        </w:rPr>
        <w:t xml:space="preserve"> iv. 27). There is probably a malicious echo in a well-known passage of Gibbon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(Decline and Fall,</w:t>
      </w:r>
      <w:r>
        <w:rPr>
          <w:color w:val="000000"/>
          <w:spacing w:val="0"/>
          <w:w w:val="100"/>
          <w:position w:val="0"/>
          <w:sz w:val="17"/>
          <w:szCs w:val="17"/>
          <w:shd w:val="clear" w:color="auto" w:fill="auto"/>
          <w:lang w:val="en-US" w:eastAsia="en-US" w:bidi="en-US"/>
        </w:rPr>
        <w:t xml:space="preserve"> chap. ii.): “The various modes of worship which prevailed in the Roman world were all con</w:t>
        <w:softHyphen/>
        <w:t xml:space="preserve">sidered by the people as equally true, by the philosopher as equally false, and by the magistrate as equally useful.” Augustine rejects all three “ theologies ” as pagan figments, and not a few church writers follow him in this—borrowing his learning without naming him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(e.g.</w:t>
      </w:r>
      <w:r>
        <w:rPr>
          <w:color w:val="000000"/>
          <w:spacing w:val="0"/>
          <w:w w:val="100"/>
          <w:position w:val="0"/>
          <w:sz w:val="17"/>
          <w:szCs w:val="17"/>
          <w:shd w:val="clear" w:color="auto" w:fill="auto"/>
          <w:lang w:val="en-US" w:eastAsia="en-US" w:bidi="en-US"/>
        </w:rPr>
        <w:t xml:space="preserve"> the Protestant </w:t>
      </w:r>
      <w:r>
        <w:rPr>
          <w:color w:val="000000"/>
          <w:spacing w:val="0"/>
          <w:w w:val="100"/>
          <w:position w:val="0"/>
          <w:sz w:val="17"/>
          <w:szCs w:val="17"/>
          <w:shd w:val="clear" w:color="auto" w:fill="auto"/>
          <w:lang w:val="fr-FR" w:eastAsia="fr-FR" w:bidi="fr-FR"/>
        </w:rPr>
        <w:t xml:space="preserve">Grotius </w:t>
      </w:r>
      <w:r>
        <w:rPr>
          <w:color w:val="000000"/>
          <w:spacing w:val="0"/>
          <w:w w:val="100"/>
          <w:position w:val="0"/>
          <w:sz w:val="17"/>
          <w:szCs w:val="17"/>
          <w:shd w:val="clear" w:color="auto" w:fill="auto"/>
          <w:lang w:val="en-US" w:eastAsia="en-US" w:bidi="en-US"/>
        </w:rPr>
        <w:t>in his notes on Rom. i. 20). Yet the natural or physical theology of the philosophers—in contrast to mere myths or mere state</w:t>
        <w:softHyphen/>
        <w:t xml:space="preserve">craft—seems a straightforward effort to reach faith in God on grounds of scientific reason. It deserves the name, in the modern sense, of Natural Theology. (2) Raymond of Sabunde's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Liber naturae sive creaturarum</w:t>
      </w:r>
      <w:r>
        <w:rPr>
          <w:color w:val="000000"/>
          <w:spacing w:val="0"/>
          <w:w w:val="100"/>
          <w:position w:val="0"/>
          <w:sz w:val="17"/>
          <w:szCs w:val="17"/>
          <w:shd w:val="clear" w:color="auto" w:fill="auto"/>
          <w:lang w:val="en-US" w:eastAsia="en-US" w:bidi="en-US"/>
        </w:rPr>
        <w:t xml:space="preserve"> (1434-36) bears also the title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Theologia Naturalis—</w:t>
      </w:r>
      <w:r>
        <w:rPr>
          <w:color w:val="000000"/>
          <w:spacing w:val="0"/>
          <w:w w:val="100"/>
          <w:position w:val="0"/>
          <w:sz w:val="17"/>
          <w:szCs w:val="17"/>
          <w:shd w:val="clear" w:color="auto" w:fill="auto"/>
          <w:lang w:val="en-US" w:eastAsia="en-US" w:bidi="en-US"/>
        </w:rPr>
        <w:t>but not from the author’s own hand,@@</w:t>
      </w:r>
      <w:r>
        <w:rPr>
          <w:color w:val="000000"/>
          <w:spacing w:val="0"/>
          <w:w w:val="100"/>
          <w:position w:val="0"/>
          <w:sz w:val="17"/>
          <w:szCs w:val="17"/>
          <w:shd w:val="clear" w:color="auto" w:fill="auto"/>
          <w:vertAlign w:val="superscript"/>
          <w:lang w:val="en-US" w:eastAsia="en-US" w:bidi="en-US"/>
        </w:rPr>
        <w:t>3</w:t>
      </w:r>
      <w:r>
        <w:rPr>
          <w:color w:val="000000"/>
          <w:spacing w:val="0"/>
          <w:w w:val="100"/>
          <w:position w:val="0"/>
          <w:sz w:val="17"/>
          <w:szCs w:val="17"/>
          <w:shd w:val="clear" w:color="auto" w:fill="auto"/>
          <w:lang w:val="en-US" w:eastAsia="en-US" w:bidi="en-US"/>
        </w:rPr>
        <w:t xml:space="preserve"> though his introduction to the book in question,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Prologue, </w:t>
      </w:r>
      <w:r>
        <w:rPr>
          <w:color w:val="000000"/>
          <w:spacing w:val="0"/>
          <w:w w:val="100"/>
          <w:position w:val="0"/>
          <w:sz w:val="17"/>
          <w:szCs w:val="17"/>
          <w:shd w:val="clear" w:color="auto" w:fill="auto"/>
          <w:lang w:val="en-US" w:eastAsia="en-US" w:bidi="en-US"/>
        </w:rPr>
        <w:t>put upon the Index at Rome for its daring, describes the “ book of nature ” as “ connatural to us,” in contrast with the “ super</w:t>
        <w:softHyphen/>
        <w:t xml:space="preserve">natural ” book, the Bible, which belongs to the clerics. Laymen may read the book of nature, and Man himself is the most important “ leaf ” in it. Raymond attempts to demonstrate the whole of church theology upon principles of reason. That is a task quite beyond what is generally recognized as Natural Theology. (3) With Francis Bacon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(Advancement of Learning, </w:t>
      </w:r>
      <w:r>
        <w:rPr>
          <w:color w:val="000000"/>
          <w:spacing w:val="0"/>
          <w:w w:val="100"/>
          <w:position w:val="0"/>
          <w:sz w:val="17"/>
          <w:szCs w:val="17"/>
          <w:shd w:val="clear" w:color="auto" w:fill="auto"/>
          <w:lang w:val="en-US" w:eastAsia="en-US" w:bidi="en-US"/>
        </w:rPr>
        <w:t>1605) the expression Natural Theology emerges in what has become the modern sense—as standing for a part of Christian theology, attainable by reason, and contrasted by most theo</w:t>
        <w:softHyphen/>
        <w:t xml:space="preserve">logians with the “ mysteries ” of faith (Bacon uses that term too) on the principles of Albert the Great and Thomas Aquinas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Apologetics).</w:t>
      </w:r>
    </w:p>
    <w:p>
      <w:pPr>
        <w:pStyle w:val="Style5"/>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 xml:space="preserve">[It is not clear that Bacon is the first to use the term in the now accepted sense; but he and Theophilus Raynaudus, S. J., in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Theologia Naturalis</w:t>
      </w:r>
      <w:r>
        <w:rPr>
          <w:color w:val="000000"/>
          <w:spacing w:val="0"/>
          <w:w w:val="100"/>
          <w:position w:val="0"/>
          <w:shd w:val="clear" w:color="auto" w:fill="auto"/>
          <w:lang w:val="en-US" w:eastAsia="en-US" w:bidi="en-US"/>
        </w:rPr>
        <w:t xml:space="preserve"> (1622), of which there is a copy in the Bodleian, must at least be among the first in their respective communions to do so. Raynaudus’s authorities, in favour of the recognition of a natural theology and against it, do not, so far as the present writer has been able to consult them, use the expression. So too H. Alsted, an early Protestant writer on Natural Theology (in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Methodus Theologiae,</w:t>
      </w:r>
      <w:r>
        <w:rPr>
          <w:color w:val="000000"/>
          <w:spacing w:val="0"/>
          <w:w w:val="100"/>
          <w:position w:val="0"/>
          <w:shd w:val="clear" w:color="auto" w:fill="auto"/>
          <w:lang w:val="en-US" w:eastAsia="en-US" w:bidi="en-US"/>
        </w:rPr>
        <w:t xml:space="preserve"> 1611, and in later works), defines it as modems do—some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contents</w:t>
      </w:r>
      <w:r>
        <w:rPr>
          <w:color w:val="000000"/>
          <w:spacing w:val="0"/>
          <w:w w:val="100"/>
          <w:position w:val="0"/>
          <w:shd w:val="clear" w:color="auto" w:fill="auto"/>
          <w:lang w:val="en-US" w:eastAsia="en-US" w:bidi="en-US"/>
        </w:rPr>
        <w:t xml:space="preserve"> of his Natural Theology are fantastic enough—and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w:t>
      </w:r>
      <w:r>
        <w:rPr>
          <w:color w:val="000000"/>
          <w:spacing w:val="0"/>
          <w:w w:val="100"/>
          <w:position w:val="0"/>
          <w:shd w:val="clear" w:color="auto" w:fill="auto"/>
          <w:lang w:val="en-US" w:eastAsia="en-US" w:bidi="en-US"/>
        </w:rPr>
        <w:t xml:space="preserve"> authorities, again so far as consulted, differ upon the place to be assigned to Natural Theology within a system of study, but do not employ the term.]</w:t>
      </w:r>
    </w:p>
    <w:p>
      <w:pPr>
        <w:pStyle w:val="Style5"/>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 xml:space="preserve">In later times the expression is common; it is used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e.g.</w:t>
      </w:r>
      <w:r>
        <w:rPr>
          <w:color w:val="000000"/>
          <w:spacing w:val="0"/>
          <w:w w:val="100"/>
          <w:position w:val="0"/>
          <w:shd w:val="clear" w:color="auto" w:fill="auto"/>
          <w:lang w:val="en-US" w:eastAsia="en-US" w:bidi="en-US"/>
        </w:rPr>
        <w:t xml:space="preserve"> by Locke, Leibnitz and Wolff. Wolff’s influence made the usage habitual,@@</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though </w:t>
      </w:r>
      <w:r>
        <w:rPr>
          <w:color w:val="000000"/>
          <w:spacing w:val="0"/>
          <w:w w:val="100"/>
          <w:position w:val="0"/>
          <w:shd w:val="clear" w:color="auto" w:fill="auto"/>
          <w:lang w:val="de-DE" w:eastAsia="de-DE" w:bidi="de-DE"/>
        </w:rPr>
        <w:t xml:space="preserve">Schleiermacher </w:t>
      </w:r>
      <w:r>
        <w:rPr>
          <w:color w:val="000000"/>
          <w:spacing w:val="0"/>
          <w:w w:val="100"/>
          <w:position w:val="0"/>
          <w:shd w:val="clear" w:color="auto" w:fill="auto"/>
          <w:lang w:val="en-US" w:eastAsia="en-US" w:bidi="en-US"/>
        </w:rPr>
        <w:t>and Ritschl, like the Socinians earlier, deny the existence of a natural theology.. Following the text and ordinary interpretation@@</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of Aristotle’s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Metaphysics,</w:t>
      </w:r>
      <w:r>
        <w:rPr>
          <w:color w:val="000000"/>
          <w:spacing w:val="0"/>
          <w:w w:val="100"/>
          <w:position w:val="0"/>
          <w:shd w:val="clear" w:color="auto" w:fill="auto"/>
          <w:lang w:val="en-US" w:eastAsia="en-US" w:bidi="en-US"/>
        </w:rPr>
        <w:t xml:space="preserve"> it is believed that Aristotle already identified metaphysics with a theology: accordingly modem Roman Catholic learning, which owes a great debt to Aristotle through the schoolmen, includes Natural Theology in philosophy, not in theology properly so called. With Natorp’s article W. Wallace’s </w:t>
      </w:r>
      <w:r>
        <w:rPr>
          <w:i/>
          <w:iCs/>
          <w:color w:val="000000"/>
          <w:spacing w:val="0"/>
          <w:w w:val="100"/>
          <w:position w:val="0"/>
          <w:shd w:val="clear" w:color="auto" w:fill="auto"/>
          <w:lang w:val="en-US" w:eastAsia="en-US" w:bidi="en-US"/>
        </w:rPr>
        <w:t>Giff</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ord Lecture,@@</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chap. i., may also be consulted; but Wallace does not distinguish the un</w:t>
        <w:softHyphen/>
        <w:t xml:space="preserve">usual sense which the term bears as applied to Raymond’s book. R. Flint has remarked that Natural Theology ought not merely to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prove</w:t>
      </w:r>
      <w:r>
        <w:rPr>
          <w:color w:val="000000"/>
          <w:spacing w:val="0"/>
          <w:w w:val="100"/>
          <w:position w:val="0"/>
          <w:shd w:val="clear" w:color="auto" w:fill="auto"/>
          <w:lang w:val="en-US" w:eastAsia="en-US" w:bidi="en-US"/>
        </w:rPr>
        <w:t xml:space="preserve"> the being of God, but to give a full sys</w:t>
        <w:softHyphen/>
        <w:t>tematic view of what (it is contended) can be learned of theo</w:t>
        <w:softHyphen/>
        <w:t>logical truth from the “ light of nature ” (St Augustine, and</w:t>
      </w:r>
    </w:p>
    <w:p>
      <w:pPr>
        <w:pStyle w:val="Style3"/>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Imm. Kant’s distinction of “deist” and “ theist ” may be found in the </w:t>
      </w:r>
      <w:r>
        <w:rPr>
          <w:rFonts w:ascii="Times New Roman" w:eastAsia="Times New Roman" w:hAnsi="Times New Roman" w:cs="Times New Roman"/>
          <w:i/>
          <w:iCs/>
          <w:color w:val="000000"/>
          <w:spacing w:val="0"/>
          <w:w w:val="100"/>
          <w:position w:val="0"/>
          <w:shd w:val="clear" w:color="auto" w:fill="auto"/>
          <w:lang w:val="en-US" w:eastAsia="en-US" w:bidi="en-US"/>
        </w:rPr>
        <w:t>Critique of Pure Reason, “</w:t>
      </w:r>
      <w:r>
        <w:rPr>
          <w:rFonts w:ascii="Times New Roman" w:eastAsia="Times New Roman" w:hAnsi="Times New Roman" w:cs="Times New Roman"/>
          <w:color w:val="000000"/>
          <w:spacing w:val="0"/>
          <w:w w:val="100"/>
          <w:position w:val="0"/>
          <w:shd w:val="clear" w:color="auto" w:fill="auto"/>
          <w:lang w:val="en-US" w:eastAsia="en-US" w:bidi="en-US"/>
        </w:rPr>
        <w:t xml:space="preserve"> Transcendental Dialectic,” Book II. chaps. iii. and vii. It is curious, but, unless for the study of Kant, unimportant.</w:t>
      </w:r>
    </w:p>
    <w:p>
      <w:pPr>
        <w:pStyle w:val="Style3"/>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Cf.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Theology.</w:t>
      </w:r>
      <w:r>
        <w:rPr>
          <w:rFonts w:ascii="Times New Roman" w:eastAsia="Times New Roman" w:hAnsi="Times New Roman" w:cs="Times New Roman"/>
          <w:color w:val="000000"/>
          <w:spacing w:val="0"/>
          <w:w w:val="100"/>
          <w:position w:val="0"/>
          <w:shd w:val="clear" w:color="auto" w:fill="auto"/>
          <w:lang w:val="en-US" w:eastAsia="en-US" w:bidi="en-US"/>
        </w:rPr>
        <w:t xml:space="preserve"> Natorp’s article quoted there gives the reference to the passage in Aristotle, but does not recognize its connexion with the later Stoical distinction.</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See art. “ </w:t>
      </w:r>
      <w:r>
        <w:rPr>
          <w:rFonts w:ascii="Times New Roman" w:eastAsia="Times New Roman" w:hAnsi="Times New Roman" w:cs="Times New Roman"/>
          <w:color w:val="000000"/>
          <w:spacing w:val="0"/>
          <w:w w:val="100"/>
          <w:position w:val="0"/>
          <w:shd w:val="clear" w:color="auto" w:fill="auto"/>
          <w:lang w:val="de-DE" w:eastAsia="de-DE" w:bidi="de-DE"/>
        </w:rPr>
        <w:t xml:space="preserve">Raimundus </w:t>
      </w:r>
      <w:r>
        <w:rPr>
          <w:rFonts w:ascii="Times New Roman" w:eastAsia="Times New Roman" w:hAnsi="Times New Roman" w:cs="Times New Roman"/>
          <w:color w:val="000000"/>
          <w:spacing w:val="0"/>
          <w:w w:val="100"/>
          <w:position w:val="0"/>
          <w:shd w:val="clear" w:color="auto" w:fill="auto"/>
          <w:lang w:val="en-US" w:eastAsia="en-US" w:bidi="en-US"/>
        </w:rPr>
        <w:t xml:space="preserve">Sabiende ” by Schaarschmidt in Herzog- Hauck, </w:t>
      </w:r>
      <w:r>
        <w:rPr>
          <w:rFonts w:ascii="Times New Roman" w:eastAsia="Times New Roman" w:hAnsi="Times New Roman" w:cs="Times New Roman"/>
          <w:i/>
          <w:iCs/>
          <w:color w:val="000000"/>
          <w:spacing w:val="0"/>
          <w:w w:val="100"/>
          <w:position w:val="0"/>
          <w:shd w:val="clear" w:color="auto" w:fill="auto"/>
          <w:lang w:val="en-US" w:eastAsia="en-US" w:bidi="en-US"/>
        </w:rPr>
        <w:t>Realdencyklopädie</w:t>
      </w:r>
      <w:r>
        <w:rPr>
          <w:rFonts w:ascii="Times New Roman" w:eastAsia="Times New Roman" w:hAnsi="Times New Roman" w:cs="Times New Roman"/>
          <w:color w:val="000000"/>
          <w:spacing w:val="0"/>
          <w:w w:val="100"/>
          <w:position w:val="0"/>
          <w:shd w:val="clear" w:color="auto" w:fill="auto"/>
          <w:lang w:val="en-US" w:eastAsia="en-US" w:bidi="en-US"/>
        </w:rPr>
        <w:t xml:space="preserve"> (ed. 1905). At this point we must also call to mind the wide currency given to the term theology by Abelard, and his editors or copyists.</w:t>
      </w:r>
    </w:p>
    <w:p>
      <w:pPr>
        <w:pStyle w:val="Style3"/>
        <w:keepNext w:val="0"/>
        <w:keepLines w:val="0"/>
        <w:widowControl w:val="0"/>
        <w:shd w:val="clear" w:color="auto" w:fill="auto"/>
        <w:bidi w:val="0"/>
        <w:spacing w:line="199" w:lineRule="auto"/>
        <w:ind w:left="0" w:firstLine="360"/>
        <w:jc w:val="left"/>
        <w:rPr>
          <w:sz w:val="18"/>
          <w:szCs w:val="18"/>
        </w:rPr>
      </w:pP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A. Harnack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and some others use the expression in a wider sense. Any supposed principles (even if not worked out into a system of inferences) used as ready-made clues for the study and interpretation of Christianity are described by this school as natural theology (cf.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Theology).</w:t>
      </w:r>
    </w:p>
    <w:p>
      <w:pPr>
        <w:pStyle w:val="Style3"/>
        <w:keepNext w:val="0"/>
        <w:keepLines w:val="0"/>
        <w:widowControl w:val="0"/>
        <w:shd w:val="clear" w:color="auto" w:fill="auto"/>
        <w:bidi w:val="0"/>
        <w:spacing w:line="199" w:lineRule="auto"/>
        <w:ind w:left="0" w:firstLine="360"/>
        <w:jc w:val="left"/>
        <w:rPr>
          <w:sz w:val="18"/>
          <w:szCs w:val="18"/>
        </w:rPr>
      </w:pP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Challenged by Natorp;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Theology.</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@@@6 Published in </w:t>
      </w:r>
      <w:r>
        <w:rPr>
          <w:rFonts w:ascii="Times New Roman" w:eastAsia="Times New Roman" w:hAnsi="Times New Roman" w:cs="Times New Roman"/>
          <w:i/>
          <w:iCs/>
          <w:color w:val="000000"/>
          <w:spacing w:val="0"/>
          <w:w w:val="100"/>
          <w:position w:val="0"/>
          <w:shd w:val="clear" w:color="auto" w:fill="auto"/>
          <w:lang w:val="en-US" w:eastAsia="en-US" w:bidi="en-US"/>
        </w:rPr>
        <w:t>Lectures and Essays.</w:t>
      </w:r>
    </w:p>
    <w:p>
      <w:pPr>
        <w:widowControl w:val="0"/>
        <w:spacing w:line="1" w:lineRule="exact"/>
      </w:pPr>
    </w:p>
    <w:sectPr>
      <w:footnotePr>
        <w:pos w:val="pageBottom"/>
        <w:numFmt w:val="decimal"/>
        <w:numRestart w:val="continuous"/>
      </w:footnotePr>
      <w:type w:val="continuous"/>
      <w:pgSz w:w="12240" w:h="15840"/>
      <w:pgMar w:top="1270" w:left="1187" w:right="936" w:bottom="74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6">
    <w:name w:val="Body text (6)_"/>
    <w:basedOn w:val="DefaultParagraphFont"/>
    <w:link w:val="Style5"/>
    <w:rPr>
      <w:rFonts w:ascii="Georgia" w:eastAsia="Georgia" w:hAnsi="Georgia" w:cs="Georgia"/>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190" w:lineRule="auto"/>
      <w:ind w:firstLine="180"/>
    </w:pPr>
    <w:rPr>
      <w:b w:val="0"/>
      <w:bCs w:val="0"/>
      <w:i w:val="0"/>
      <w:iCs w:val="0"/>
      <w:smallCaps w:val="0"/>
      <w:strike w:val="0"/>
      <w:sz w:val="16"/>
      <w:szCs w:val="16"/>
      <w:u w:val="none"/>
    </w:rPr>
  </w:style>
  <w:style w:type="paragraph" w:customStyle="1" w:styleId="Style5">
    <w:name w:val="Body text (6)"/>
    <w:basedOn w:val="Normal"/>
    <w:link w:val="CharStyle6"/>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