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attached to the object of supreme worship, monotheism proper is approached; while, when a new thought-construction is put in the supreme place, there is a tendency rather towards pan</w:t>
        <w:softHyphen/>
        <w:t>theism. So far as this is true, theism (proper) would seem to be an accident of language.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 further problem; whether monotheism is of very early occurrence. Belief in a primitive historical revelation, once universal among Christians, has almost disappeared; but belief in a very early and highly moral theism is stoutly defended, chiefly on Australian evidence, by Andrew Lang </w:t>
      </w:r>
      <w:r>
        <w:rPr>
          <w:rFonts w:ascii="Times New Roman" w:eastAsia="Times New Roman" w:hAnsi="Times New Roman" w:cs="Times New Roman"/>
          <w:i/>
          <w:iCs/>
          <w:color w:val="000000"/>
          <w:spacing w:val="0"/>
          <w:w w:val="100"/>
          <w:position w:val="0"/>
          <w:shd w:val="clear" w:color="auto" w:fill="auto"/>
          <w:lang w:val="en-US" w:eastAsia="en-US" w:bidi="en-US"/>
        </w:rPr>
        <w:t>(The Making of Religion</w:t>
      </w:r>
      <w:r>
        <w:rPr>
          <w:rFonts w:ascii="Times New Roman" w:eastAsia="Times New Roman" w:hAnsi="Times New Roman" w:cs="Times New Roman"/>
          <w:color w:val="000000"/>
          <w:spacing w:val="0"/>
          <w:w w:val="100"/>
          <w:position w:val="0"/>
          <w:shd w:val="clear" w:color="auto" w:fill="auto"/>
          <w:lang w:val="en-US" w:eastAsia="en-US" w:bidi="en-US"/>
        </w:rPr>
        <w:t xml:space="preserve"> and later works). If Lang is right, “ primitive ” peoples drew typical theistic inferences, and argued to God from nature and from conscience, though without displacing other types of religious belief and practice. In many regions— Egypt, Babylonia, &amp;c.—individual investigators of the great religions have thought they found traces of an early—one hesitates to write, of a “ primitive ”—monotheism. Perhaps J. Legge, who finds true theism at the dawn of Chinese history, is the most authoritative representative of such views.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Passing to later times, we can watch a theory of monotheism rising, and dying down again, during what our scholars distin</w:t>
        <w:softHyphen/>
        <w:t>guish as the Brahmanical period of Indian religion. The supreme god, Isvara, has the personal name Prajapati, Visvakarman or some other. But this theism is lifeless—a “ pale and shallow deism, which India has often confessed with the lips, but which has never won the homage of her heart.”@@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thought of India is upon the side of pan</w:t>
        <w:softHyphen/>
        <w:t xml:space="preserve">theism. Again, the heretical Egyptian king </w:t>
      </w:r>
      <w:r>
        <w:rPr>
          <w:rFonts w:ascii="Times New Roman" w:eastAsia="Times New Roman" w:hAnsi="Times New Roman" w:cs="Times New Roman"/>
          <w:color w:val="000000"/>
          <w:spacing w:val="0"/>
          <w:w w:val="100"/>
          <w:position w:val="0"/>
          <w:shd w:val="clear" w:color="auto" w:fill="auto"/>
          <w:lang w:val="de-DE" w:eastAsia="de-DE" w:bidi="de-DE"/>
        </w:rPr>
        <w:t xml:space="preserve">Amenophis </w:t>
      </w:r>
      <w:r>
        <w:rPr>
          <w:rFonts w:ascii="Times New Roman" w:eastAsia="Times New Roman" w:hAnsi="Times New Roman" w:cs="Times New Roman"/>
          <w:color w:val="000000"/>
          <w:spacing w:val="0"/>
          <w:w w:val="100"/>
          <w:position w:val="0"/>
          <w:shd w:val="clear" w:color="auto" w:fill="auto"/>
          <w:lang w:val="en-US" w:eastAsia="en-US" w:bidi="en-US"/>
        </w:rPr>
        <w:t>IV. or Akhenaton, one of the sovereigns to whose govern</w:t>
        <w:softHyphen/>
        <w:t>ment the celebrated Tell el-Amama letters from Palestine were addressed, was a zealous champion of the ex</w:t>
        <w:softHyphen/>
        <w:t xml:space="preserve">clusive claims of the sun-disk God, Ra; but his policy died with him. In Babylonia a mutilated inscription printed by T. Pinches </w:t>
      </w:r>
      <w:r>
        <w:rPr>
          <w:rFonts w:ascii="Times New Roman" w:eastAsia="Times New Roman" w:hAnsi="Times New Roman" w:cs="Times New Roman"/>
          <w:i/>
          <w:iCs/>
          <w:color w:val="000000"/>
          <w:spacing w:val="0"/>
          <w:w w:val="100"/>
          <w:position w:val="0"/>
          <w:shd w:val="clear" w:color="auto" w:fill="auto"/>
          <w:lang w:val="en-US" w:eastAsia="en-US" w:bidi="en-US"/>
        </w:rPr>
        <w:t>(Transactions of Victoria Institute,</w:t>
      </w:r>
      <w:r>
        <w:rPr>
          <w:rFonts w:ascii="Times New Roman" w:eastAsia="Times New Roman" w:hAnsi="Times New Roman" w:cs="Times New Roman"/>
          <w:color w:val="000000"/>
          <w:spacing w:val="0"/>
          <w:w w:val="100"/>
          <w:position w:val="0"/>
          <w:shd w:val="clear" w:color="auto" w:fill="auto"/>
          <w:lang w:val="en-US" w:eastAsia="en-US" w:bidi="en-US"/>
        </w:rPr>
        <w:t xml:space="preserve"> vol. 28), identifying (so far as preserved) thirteen other Gods with Marduk, has been hailed by Friedrich Delitzsch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(Babel </w:t>
      </w:r>
      <w:r>
        <w:rPr>
          <w:rFonts w:ascii="Times New Roman" w:eastAsia="Times New Roman" w:hAnsi="Times New Roman" w:cs="Times New Roman"/>
          <w:i/>
          <w:iCs/>
          <w:color w:val="000000"/>
          <w:spacing w:val="0"/>
          <w:w w:val="100"/>
          <w:position w:val="0"/>
          <w:shd w:val="clear" w:color="auto" w:fill="auto"/>
          <w:lang w:val="de-DE" w:eastAsia="de-DE" w:bidi="de-DE"/>
        </w:rPr>
        <w:t>und Bibel)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great fountain-head of monotheism, and has in</w:t>
        <w:softHyphen/>
        <w:t>fluenced the bold if highly precarious conjectures of H. Winckler.@@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more assured importance was the Zoroastrian faith—“ pure moral dualism if not theism ” (L. II. Mills)—which proved its zeal by persecutions. But later times nearly strangled Zoroastrian piety, not only by laws of ritual purity but also by newly evolved secondary deities—personified attributes, and the like. So that here again theism, if theism it was, did not continue in strength. If we understand by theism not simple belief in a divine unity, but such faith in one divine person as will constitute the basis for a popular religion, then— unless we allow a doubtful exception in Zoroastrianism—we must agree with those historians of religion who affirm that the world has known only a single living monotheism, viz. that of the Old Testament, along with what are historically the daughter faiths, Christianity and Islam.</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theist believes that he can further trace many incomplete workings of the monothesitic instinct in the history of religion.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 only is it true, as A. Menzies observes, that “ Reason knows only God, not Gods ”; if we take religion as </w:t>
      </w:r>
      <w:r>
        <w:rPr>
          <w:rFonts w:ascii="Times New Roman" w:eastAsia="Times New Roman" w:hAnsi="Times New Roman" w:cs="Times New Roman"/>
          <w:i/>
          <w:iCs/>
          <w:color w:val="000000"/>
          <w:spacing w:val="0"/>
          <w:w w:val="100"/>
          <w:position w:val="0"/>
          <w:shd w:val="clear" w:color="auto" w:fill="auto"/>
          <w:lang w:val="en-US" w:eastAsia="en-US" w:bidi="en-US"/>
        </w:rPr>
        <w:t>saving help,</w:t>
      </w:r>
      <w:r>
        <w:rPr>
          <w:rFonts w:ascii="Times New Roman" w:eastAsia="Times New Roman" w:hAnsi="Times New Roman" w:cs="Times New Roman"/>
          <w:color w:val="000000"/>
          <w:spacing w:val="0"/>
          <w:w w:val="100"/>
          <w:position w:val="0"/>
          <w:shd w:val="clear" w:color="auto" w:fill="auto"/>
          <w:lang w:val="en-US" w:eastAsia="en-US" w:bidi="en-US"/>
        </w:rPr>
        <w:t xml:space="preserve"> no worshipper possesses re</w:t>
        <w:softHyphen/>
        <w:t>ligion in full security until he has gone straight to the fountain-head, and gained the friendship of the God of Gods. Indian Vedic henotheism (otherwise called kathenotheism);@@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Semitic monolatry, so important as the probable starting-point of religious development in Israel; the Greek use of “ Zeus ” almost as we say “ God ”—even the attempt to arrange deities in a monarchical pantheon, all show the tendency, though it so seldom attains a real victory.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 We have already suggested that theism covers more ground than the name at first may suggest. It can never quite confine attention to the problem of the being of God. Where God is believed in at all, it is believed that upon God everything else depends. With the thought of God, accordingly, there is correlated a modification in thoughts upon all other subjects; and a full system of theism must discourse “ Of God, of the world, of the Soul, ” like Matthew Arnold’s Moses. In other words there must be doctrines re</w:t>
        <w:softHyphen/>
        <w:t>garding matter and mind, the world and the self, as well as regarding that Absolute Being who is believed to exist behind both, revealing Himself through them. This way of approach</w:t>
        <w:softHyphen/>
        <w:t>ing theism is illustrated in A. C. Fraser’s Gifford Lectures, or in earlier times in the writings of Christian Wolff, whose sciences, according to the slightly different nomenclature which Kant imposed on them, were “ rational psychology,” “ rational cosmology,” and “ rational theology.” Kant swept away, so far as his influence extended, such “ dogmatic metaphysics ” and the old-fashioned theism which it constituted or included; but Kant himself introduced, in his own more sceptical yet also more moral type of theistic doctrine, a new trichotomy—God, Freedom, Immortality, the three “ postulates ” of the “ practical reason.” It is tempting to try to correlate the members of this triad with the individual members of the older triad. But that would only mislead us; free will and immortality are really predicates ascribed—on whatever grounds—to the soul; and it is natural that in theism the soul of man should be a topic second in importance only to God Himself. Every theistic system, or almost every one, makes provision in some way for Kant’s three postulates. Accord</w:t>
        <w:softHyphen/>
        <w:t xml:space="preserve">ingly, even in a hurried survey of the history of theism, we must try to question the systems we are reviewing upon their attitude towards human freedom and immortality, as well as upon their doctrine of God. Sometimes it will be found that free will is asserted as an assured fact, as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datum, </w:t>
      </w:r>
      <w:r>
        <w:rPr>
          <w:rFonts w:ascii="Times New Roman" w:eastAsia="Times New Roman" w:hAnsi="Times New Roman" w:cs="Times New Roman"/>
          <w:color w:val="000000"/>
          <w:spacing w:val="0"/>
          <w:w w:val="100"/>
          <w:position w:val="0"/>
          <w:shd w:val="clear" w:color="auto" w:fill="auto"/>
          <w:lang w:val="en-US" w:eastAsia="en-US" w:bidi="en-US"/>
        </w:rPr>
        <w:t>and so as a ground of inference to God. But some</w:t>
        <w:softHyphen/>
        <w:t xml:space="preserve">times free will is rather a </w:t>
      </w:r>
      <w:r>
        <w:rPr>
          <w:rFonts w:ascii="Times New Roman" w:eastAsia="Times New Roman" w:hAnsi="Times New Roman" w:cs="Times New Roman"/>
          <w:i/>
          <w:iCs/>
          <w:color w:val="000000"/>
          <w:spacing w:val="0"/>
          <w:w w:val="100"/>
          <w:position w:val="0"/>
          <w:shd w:val="clear" w:color="auto" w:fill="auto"/>
          <w:lang w:val="en-US" w:eastAsia="en-US" w:bidi="en-US"/>
        </w:rPr>
        <w:t>probandum.</w:t>
      </w:r>
      <w:r>
        <w:rPr>
          <w:rFonts w:ascii="Times New Roman" w:eastAsia="Times New Roman" w:hAnsi="Times New Roman" w:cs="Times New Roman"/>
          <w:color w:val="000000"/>
          <w:spacing w:val="0"/>
          <w:w w:val="100"/>
          <w:position w:val="0"/>
          <w:shd w:val="clear" w:color="auto" w:fill="auto"/>
          <w:lang w:val="en-US" w:eastAsia="en-US" w:bidi="en-US"/>
        </w:rPr>
        <w:t xml:space="preserve"> In Christian theology, much labour has been spent upon vindicating man’s freedom against God’s intrusion, or upon blotting out human power in order to leave room for the divine. Theism suggests at the very outset that we should rather expect to find a correlation between the two. If there is a God at all, he must be thought of as the guarantee of freedom in man and as the pledge of his immortality.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mention of Christian theology may remind us that, for the majority of theists in medieval and modern times, theism proper has ranked only as a secondary wisdom. It is possible for Christians to work out natural theology in separate detail; but we cannot wonder if they rarely attempt the task, believing as they do that they have a fuller revelation of religious truth elsewhere. In point of fact, as we look to history, we find that theism has been much simplified and cut down. First of all, attention has been concentrated upon God. One does not suggest that this con</w:t>
        <w:softHyphen/>
        <w:t>centration was an error. On the contrary, even Christian theo</w:t>
        <w:softHyphen/>
        <w:t xml:space="preserve">logy makes at least the effort to show that the thought of God regulates the whole system of belief. Yet while an adequate doctrine of God may settle everything </w:t>
      </w:r>
      <w:r>
        <w:rPr>
          <w:rFonts w:ascii="Times New Roman" w:eastAsia="Times New Roman" w:hAnsi="Times New Roman" w:cs="Times New Roman"/>
          <w:i/>
          <w:iCs/>
          <w:color w:val="000000"/>
          <w:spacing w:val="0"/>
          <w:w w:val="100"/>
          <w:position w:val="0"/>
          <w:shd w:val="clear" w:color="auto" w:fill="auto"/>
          <w:lang w:val="en-US" w:eastAsia="en-US" w:bidi="en-US"/>
        </w:rPr>
        <w:t>in principle,</w:t>
      </w:r>
      <w:r>
        <w:rPr>
          <w:rFonts w:ascii="Times New Roman" w:eastAsia="Times New Roman" w:hAnsi="Times New Roman" w:cs="Times New Roman"/>
          <w:color w:val="000000"/>
          <w:spacing w:val="0"/>
          <w:w w:val="100"/>
          <w:position w:val="0"/>
          <w:shd w:val="clear" w:color="auto" w:fill="auto"/>
          <w:lang w:val="en-US" w:eastAsia="en-US" w:bidi="en-US"/>
        </w:rPr>
        <w:t xml:space="preserve"> we ought to remember that there are </w:t>
      </w:r>
      <w:r>
        <w:rPr>
          <w:rFonts w:ascii="Times New Roman" w:eastAsia="Times New Roman" w:hAnsi="Times New Roman" w:cs="Times New Roman"/>
          <w:i/>
          <w:iCs/>
          <w:color w:val="000000"/>
          <w:spacing w:val="0"/>
          <w:w w:val="100"/>
          <w:position w:val="0"/>
          <w:shd w:val="clear" w:color="auto" w:fill="auto"/>
          <w:lang w:val="en-US" w:eastAsia="en-US" w:bidi="en-US"/>
        </w:rPr>
        <w:t>applications of</w:t>
      </w:r>
      <w:r>
        <w:rPr>
          <w:rFonts w:ascii="Times New Roman" w:eastAsia="Times New Roman" w:hAnsi="Times New Roman" w:cs="Times New Roman"/>
          <w:color w:val="000000"/>
          <w:spacing w:val="0"/>
          <w:w w:val="100"/>
          <w:position w:val="0"/>
          <w:shd w:val="clear" w:color="auto" w:fill="auto"/>
          <w:lang w:val="en-US" w:eastAsia="en-US" w:bidi="en-US"/>
        </w:rPr>
        <w:t xml:space="preserve"> the principle, apart from which we do not see our way clearly. As a second step in concentration, attention is almost confined to the question “ Does God exist? ” and to theistic proofs as answering “ Yes.” The further question “What is God?” is slurred, as if there could be no two opinions regarding that;' whereas in truth there are two hundred opinions. A. B. Bruce feels this so strongly that the natural theology section of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Apologetics </w:t>
      </w:r>
      <w:r>
        <w:rPr>
          <w:rFonts w:ascii="Times New Roman" w:eastAsia="Times New Roman" w:hAnsi="Times New Roman" w:cs="Times New Roman"/>
          <w:color w:val="000000"/>
          <w:spacing w:val="0"/>
          <w:w w:val="100"/>
          <w:position w:val="0"/>
          <w:shd w:val="clear" w:color="auto" w:fill="auto"/>
          <w:lang w:val="en-US" w:eastAsia="en-US" w:bidi="en-US"/>
        </w:rPr>
        <w:t>entirely omits the question “Does God exist?” in favour of the question “What is God?” Perhaps that is equally one</w:t>
        <w:softHyphen/>
        <w:t>sided. When we do find theism dealing with the question “ What is God?" it tends to borrow from scholastic forms of Christian theology the scheme of Being and Attributes (see e.g. Wolff). But such a scheme gives at best an</w:t>
      </w:r>
    </w:p>
    <w:p>
      <w:pPr>
        <w:pStyle w:val="Style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Barth, </w:t>
      </w:r>
      <w:r>
        <w:rPr>
          <w:rFonts w:ascii="Times New Roman" w:eastAsia="Times New Roman" w:hAnsi="Times New Roman" w:cs="Times New Roman"/>
          <w:i/>
          <w:iCs/>
          <w:color w:val="000000"/>
          <w:spacing w:val="0"/>
          <w:w w:val="100"/>
          <w:position w:val="0"/>
          <w:shd w:val="clear" w:color="auto" w:fill="auto"/>
          <w:lang w:val="en-US" w:eastAsia="en-US" w:bidi="en-US"/>
        </w:rPr>
        <w:t>Religions of India,</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pp. 29, 30, 69. We may probably extend this hostile judgment to the theism of the modern Samaj-es.</w:t>
      </w:r>
    </w:p>
    <w:p>
      <w:pPr>
        <w:pStyle w:val="Style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The centralizing of worship at Babylon by its last king, Nabonidos, hardly seems to have amounted to monotheism.</w:t>
      </w:r>
    </w:p>
    <w:p>
      <w:pPr>
        <w:pStyle w:val="Style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The two terms are explicitly identified by F. Max Müller, their inventor </w:t>
      </w:r>
      <w:r>
        <w:rPr>
          <w:rFonts w:ascii="Times New Roman" w:eastAsia="Times New Roman" w:hAnsi="Times New Roman" w:cs="Times New Roman"/>
          <w:i/>
          <w:iCs/>
          <w:color w:val="000000"/>
          <w:spacing w:val="0"/>
          <w:w w:val="100"/>
          <w:position w:val="0"/>
          <w:shd w:val="clear" w:color="auto" w:fill="auto"/>
          <w:lang w:val="en-US" w:eastAsia="en-US" w:bidi="en-US"/>
        </w:rPr>
        <w:t>(e.g. Hibbert Lectures,</w:t>
      </w:r>
      <w:r>
        <w:rPr>
          <w:rFonts w:ascii="Times New Roman" w:eastAsia="Times New Roman" w:hAnsi="Times New Roman" w:cs="Times New Roman"/>
          <w:color w:val="000000"/>
          <w:spacing w:val="0"/>
          <w:w w:val="100"/>
          <w:position w:val="0"/>
          <w:shd w:val="clear" w:color="auto" w:fill="auto"/>
          <w:lang w:val="en-US" w:eastAsia="en-US" w:bidi="en-US"/>
        </w:rPr>
        <w:t xml:space="preserve"> chap. vi. p. 271).</w:t>
      </w:r>
    </w:p>
    <w:p>
      <w:pPr>
        <w:widowControl w:val="0"/>
        <w:spacing w:line="1" w:lineRule="exact"/>
      </w:pPr>
    </w:p>
    <w:sectPr>
      <w:footnotePr>
        <w:pos w:val="pageBottom"/>
        <w:numFmt w:val="decimal"/>
        <w:numRestart w:val="continuous"/>
      </w:footnotePr>
      <w:type w:val="continuous"/>
      <w:pgSz w:w="12240" w:h="15840"/>
      <w:pgMar w:top="1478" w:left="1291" w:right="1197" w:bottom="8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