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37" w:val="left"/>
        </w:tabs>
        <w:bidi w:val="0"/>
        <w:spacing w:line="197"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treatment vary immensely. A. C. Fraser’s Edinburgh lectures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Phil. of Theism)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are central in topic and of distinct value. J. Caird (Glas</w:t>
        <w:softHyphen/>
        <w:t xml:space="preserve">gow: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Fundamental Ideas of Christianity,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comp. his earlier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Introduc. to the Phil. of Relig.)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more unreservedly Ed. Caird (St Andrews: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Evolution of Religion;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Glasgow: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Evolution of Theology in the Greek Philosophies)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represent speculative treatment on a basis of Hegelianism. H. Μ. Gwatkin (Edinburgh: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Knowledge of God)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pours out his historical knowledge, and W. James (Edinburgh: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Varieties of Relig. Exp.)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reveals his many-sided intellectual interests and ready sympathies. W. Wallace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(Lectures and Essays,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incor</w:t>
        <w:softHyphen/>
        <w:t xml:space="preserve">porating Glasgow lectures) gives some useful historical references. James Ward's masterly criticism of Herbert Spencer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(Naturalism and Agnosticism)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has been mentioned above. The student will rarely lose by reading Gifford Lectures; but it will not always be upon theism that he finds himself better informed. In France, Paul Janet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(Final Causes,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Eng. trans.) and Ch. Sécretan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(Philo</w:t>
        <w:softHyphen/>
        <w:t xml:space="preserve">sophie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de la Libert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é</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may be named: in Germany, H. Ulrici; while R. Eucken represents to a later generation the spirit and tendency of Lotze and Ulrici, in original and powerful, if rather elusive, fashion. H. Höffding’s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Phil. of Religion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(translated) is one of the most original books under that title, but it cannot be called theistic. F. C. S. Schiller, like W. James, opens up new suggestions in philosophy; the bearing of these upon theistic (or other) beliefs is hard to define. In history compare B. Pünjer’s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 of the Phil. of Relig.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(Eng. trans.; it includes a good deal of the history of general philosophy); A. Caldecott’s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Philosophy of Religion in England and America;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A. Caldecott and H.</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R. Mackintosh’s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Selections from the Literature of Theism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(useful texts with useful notes: nothing from Hegel).</w:t>
        <w:tab/>
        <w:t xml:space="preserv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Ma.)</w:t>
      </w:r>
    </w:p>
    <w:p>
      <w:pPr>
        <w:pStyle w:val="Style8"/>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THEISS </w:t>
      </w:r>
      <w:r>
        <w:rPr>
          <w:color w:val="000000"/>
          <w:spacing w:val="0"/>
          <w:w w:val="100"/>
          <w:position w:val="0"/>
          <w:shd w:val="clear" w:color="auto" w:fill="auto"/>
          <w:lang w:val="en-US" w:eastAsia="en-US" w:bidi="en-US"/>
        </w:rPr>
        <w:t xml:space="preserve">(Hungarian,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Tisza;</w:t>
      </w:r>
      <w:r>
        <w:rPr>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Tisia</w:t>
      </w:r>
      <w:r>
        <w:rPr>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Tissus),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large affluent of the Danube, next to which it is the greatest river of Hungary. It rises in the north-eastern part of the Carpathian mountains, in the county of Máramaros, at a height of above 6300 ft., and is formed by the confluence of two branches, the Black Theiss (Fekete Tisza), and the White Theiss (Fehér Tisza), which unite at about 20 m. E. of Máramaros-Sziget. The Theiss then follows a north-westerly direction until it leaves its mountainous valley, then runs west, and after a great curve to the north, takes a south-westerly direction and enters the great Hungarian plain (Alföld). From Szolnok it runs south in an almost parallel course with that of the Danube, from which it is separated by a distance of about 60 m., and flows into the Danube near the village of </w:t>
      </w:r>
      <w:r>
        <w:rPr>
          <w:color w:val="000000"/>
          <w:spacing w:val="0"/>
          <w:w w:val="100"/>
          <w:position w:val="0"/>
          <w:shd w:val="clear" w:color="auto" w:fill="auto"/>
          <w:lang w:val="de-DE" w:eastAsia="de-DE" w:bidi="de-DE"/>
        </w:rPr>
        <w:t xml:space="preserve">Titel, </w:t>
      </w:r>
      <w:r>
        <w:rPr>
          <w:color w:val="000000"/>
          <w:spacing w:val="0"/>
          <w:w w:val="100"/>
          <w:position w:val="0"/>
          <w:shd w:val="clear" w:color="auto" w:fill="auto"/>
          <w:lang w:val="en-US" w:eastAsia="en-US" w:bidi="en-US"/>
        </w:rPr>
        <w:t>20 m. E. of Ujvidek. Its length from source to mouth is, as the crow flies, only about 340 m., but its windings make its course about 870 m. long. The Theiss is clear and swift in its course through the moun</w:t>
        <w:softHyphen/>
        <w:t>tains, but in the plain it becomes slow, somewhat muddy and very tortuous. Its basin covers an area of 56,600 sq. m., and comprises the whole eastern part of Hungary, and the greater part of Transylvania, and collects all the rivers descending from the Carpathians westward.</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Theiss is navigable for rafts almost everywhere, but for steamers only from Szolnok downwards, a distance of about 200 m., where the breadth of the river is 450 to 750 ft. The depth of the Theiss at low-water mark is 7 ft. at Tokaj, 20 ft. at Szeged and 11 ft. at </w:t>
      </w:r>
      <w:r>
        <w:rPr>
          <w:rFonts w:ascii="Times New Roman" w:eastAsia="Times New Roman" w:hAnsi="Times New Roman" w:cs="Times New Roman"/>
          <w:color w:val="000000"/>
          <w:spacing w:val="0"/>
          <w:w w:val="100"/>
          <w:position w:val="0"/>
          <w:shd w:val="clear" w:color="auto" w:fill="auto"/>
          <w:lang w:val="de-DE" w:eastAsia="de-DE" w:bidi="de-DE"/>
        </w:rPr>
        <w:t xml:space="preserve">Titel, </w:t>
      </w:r>
      <w:r>
        <w:rPr>
          <w:rFonts w:ascii="Times New Roman" w:eastAsia="Times New Roman" w:hAnsi="Times New Roman" w:cs="Times New Roman"/>
          <w:color w:val="000000"/>
          <w:spacing w:val="0"/>
          <w:w w:val="100"/>
          <w:position w:val="0"/>
          <w:shd w:val="clear" w:color="auto" w:fill="auto"/>
          <w:lang w:val="en-US" w:eastAsia="en-US" w:bidi="en-US"/>
        </w:rPr>
        <w:t>near its mouth, while the difference between the low-water mark and the high-water mark is as high as 25 to 35 ft. During its course through the great Hungarian plain the Theiss flows between flat, low-lying banks, which are the cause of periodical and sometimes disastrous inundations and of extensive marshes. Therefore extensive works have been undertaken for the regula</w:t>
        <w:softHyphen/>
        <w:t>tion and canalization of the river, which is now strongly dammed in many parts. By these works large tracts of marshes have been transformed into productive ground. Its chief tributaries are the Szamos, Körös, Maros, Latorcza, and the Sajó. In its lower course it is joined to the Danube by the Franz Josef canal, while it is also united with Temesvár by the Bega canal.</w:t>
      </w:r>
    </w:p>
    <w:p>
      <w:pPr>
        <w:pStyle w:val="Style8"/>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THEMIS, </w:t>
      </w:r>
      <w:r>
        <w:rPr>
          <w:color w:val="000000"/>
          <w:spacing w:val="0"/>
          <w:w w:val="100"/>
          <w:position w:val="0"/>
          <w:shd w:val="clear" w:color="auto" w:fill="auto"/>
          <w:lang w:val="en-US" w:eastAsia="en-US" w:bidi="en-US"/>
        </w:rPr>
        <w:t xml:space="preserve">in Greek mythology, the personification of justice. In Homer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ϵ</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μιs</w:t>
      </w:r>
      <w:r>
        <w:rPr>
          <w:color w:val="000000"/>
          <w:spacing w:val="0"/>
          <w:w w:val="100"/>
          <w:position w:val="0"/>
          <w:shd w:val="clear" w:color="auto" w:fill="auto"/>
          <w:lang w:val="en-US" w:eastAsia="en-US" w:bidi="en-US"/>
        </w:rPr>
        <w:t xml:space="preserve"> is used both as a common and as a proper noun. As a common noun (plural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θeμιστes,</w:t>
      </w:r>
      <w:r>
        <w:rPr>
          <w:color w:val="000000"/>
          <w:spacing w:val="0"/>
          <w:w w:val="100"/>
          <w:position w:val="0"/>
          <w:shd w:val="clear" w:color="auto" w:fill="auto"/>
          <w:lang w:val="en-US" w:eastAsia="en-US" w:bidi="en-US"/>
        </w:rPr>
        <w:t xml:space="preserve"> 0eμιτes,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θeμιδes), </w:t>
      </w:r>
      <w:r>
        <w:rPr>
          <w:color w:val="000000"/>
          <w:spacing w:val="0"/>
          <w:w w:val="100"/>
          <w:position w:val="0"/>
          <w:shd w:val="clear" w:color="auto" w:fill="auto"/>
          <w:lang w:val="en-US" w:eastAsia="en-US" w:bidi="en-US"/>
        </w:rPr>
        <w:t xml:space="preserve">it is the body of rules and precedents established at the beginning of the world, as a guarantee of its order and harmony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Greek Law);</w:t>
      </w:r>
      <w:r>
        <w:rPr>
          <w:color w:val="000000"/>
          <w:spacing w:val="0"/>
          <w:w w:val="100"/>
          <w:position w:val="0"/>
          <w:shd w:val="clear" w:color="auto" w:fill="auto"/>
          <w:lang w:val="en-US" w:eastAsia="en-US" w:bidi="en-US"/>
        </w:rPr>
        <w:t xml:space="preserve"> personified, Themis is the servant or companion of Zeus, her chief function being to summon the assemblies of both gods and men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(Odyssey,</w:t>
      </w:r>
      <w:r>
        <w:rPr>
          <w:color w:val="000000"/>
          <w:spacing w:val="0"/>
          <w:w w:val="100"/>
          <w:position w:val="0"/>
          <w:shd w:val="clear" w:color="auto" w:fill="auto"/>
          <w:lang w:val="en-US" w:eastAsia="en-US" w:bidi="en-US"/>
        </w:rPr>
        <w:t xml:space="preserve"> ii. 68). In the Hesiodic theogony, she is the daughter of Uranus and Gaea, and according to Pindar the wife of Zeus, by whose side she sits, assisting him with her advice, which is even better than that of any of the gods. She is the mother of the Horae and of the Moirae (Fates), an indica</w:t>
        <w:softHyphen/>
        <w:t xml:space="preserve">tion of her influence in the physical and moral world. She is </w:t>
      </w:r>
      <w:r>
        <w:rPr>
          <w:color w:val="000000"/>
          <w:spacing w:val="0"/>
          <w:w w:val="100"/>
          <w:position w:val="0"/>
          <w:shd w:val="clear" w:color="auto" w:fill="auto"/>
          <w:lang w:val="en-US" w:eastAsia="en-US" w:bidi="en-US"/>
        </w:rPr>
        <w:t xml:space="preserve">the representative of divine justice in all its relations to men, and takes special cognizance of the rights of hospitality. Her opposite is </w:t>
      </w:r>
      <w:r>
        <w:rPr>
          <w:color w:val="000000"/>
          <w:spacing w:val="0"/>
          <w:w w:val="100"/>
          <w:position w:val="0"/>
          <w:shd w:val="clear" w:color="auto" w:fill="auto"/>
          <w:lang w:val="de-DE" w:eastAsia="de-DE" w:bidi="de-DE"/>
        </w:rPr>
        <w:t xml:space="preserve">Hybris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ύ</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ßp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color w:val="000000"/>
          <w:spacing w:val="0"/>
          <w:w w:val="100"/>
          <w:position w:val="0"/>
          <w:shd w:val="clear" w:color="auto" w:fill="auto"/>
          <w:lang w:val="en-US" w:eastAsia="en-US" w:bidi="en-US"/>
        </w:rPr>
        <w:t xml:space="preserve"> insolent encroachment upon the rights of others, on whose track she follows to punish, like Nemesis. In this aspect both Themis and Nemesis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lχvaia (ιχvos,</w:t>
      </w:r>
      <w:r>
        <w:rPr>
          <w:color w:val="000000"/>
          <w:spacing w:val="0"/>
          <w:w w:val="100"/>
          <w:position w:val="0"/>
          <w:shd w:val="clear" w:color="auto" w:fill="auto"/>
          <w:lang w:val="en-US" w:eastAsia="en-US" w:bidi="en-US"/>
        </w:rPr>
        <w:t xml:space="preserve"> track). In the lexicon of Festus, Themis is described as the goddess who prescribes that which is right in accordance with divine law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(fas)</w:t>
      </w:r>
      <w:r>
        <w:rPr>
          <w:color w:val="000000"/>
          <w:spacing w:val="0"/>
          <w:w w:val="100"/>
          <w:position w:val="0"/>
          <w:shd w:val="clear" w:color="auto" w:fill="auto"/>
          <w:lang w:val="en-US" w:eastAsia="en-US" w:bidi="en-US"/>
        </w:rPr>
        <w:t xml:space="preserve"> and is herself identical with this divine law. She is also a prophetic divinity, and there was a tradition that the oracle at Delphi had first been in the hands of Gaea, who transferred it to Themis (sometimes identi</w:t>
        <w:softHyphen/>
        <w:t xml:space="preserve">fied with her) by whom it was handed over to Apollo (Aeschylus,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Eumenides,</w:t>
      </w:r>
      <w:r>
        <w:rPr>
          <w:color w:val="000000"/>
          <w:spacing w:val="0"/>
          <w:w w:val="100"/>
          <w:position w:val="0"/>
          <w:shd w:val="clear" w:color="auto" w:fill="auto"/>
          <w:lang w:val="en-US" w:eastAsia="en-US" w:bidi="en-US"/>
        </w:rPr>
        <w:t xml:space="preserve"> 2; Euripides,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Iphig. in T.</w:t>
      </w:r>
      <w:r>
        <w:rPr>
          <w:color w:val="000000"/>
          <w:spacing w:val="0"/>
          <w:w w:val="100"/>
          <w:position w:val="0"/>
          <w:shd w:val="clear" w:color="auto" w:fill="auto"/>
          <w:lang w:val="en-US" w:eastAsia="en-US" w:bidi="en-US"/>
        </w:rPr>
        <w:t xml:space="preserve"> 1181). Orphic poetry</w:t>
        <w:softHyphen/>
        <w:t xml:space="preserve">makes her a daughter of Helios, whose eye is all-seeing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(πavδipκηs) </w:t>
      </w:r>
      <w:r>
        <w:rPr>
          <w:color w:val="000000"/>
          <w:spacing w:val="0"/>
          <w:w w:val="100"/>
          <w:position w:val="0"/>
          <w:shd w:val="clear" w:color="auto" w:fill="auto"/>
          <w:lang w:val="en-US" w:eastAsia="en-US" w:bidi="en-US"/>
        </w:rPr>
        <w:t>and penetrates all mysteries. She was especially honoured at Athens, Delphi, Thebes, Aegina and Troezene, where there was an altar dedicated to a triad of Themides (on the analogy of the triads of Horae, Charites, Moirae). In art she was repre</w:t>
        <w:softHyphen/>
        <w:t>sented as of dignified and commanding presence, with the cornucopiae (symbolizing the blessings resulting from order) and a pair of scales.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article “ </w:t>
      </w:r>
      <w:r>
        <w:rPr>
          <w:rFonts w:ascii="Times New Roman" w:eastAsia="Times New Roman" w:hAnsi="Times New Roman" w:cs="Times New Roman"/>
          <w:color w:val="000000"/>
          <w:spacing w:val="0"/>
          <w:w w:val="100"/>
          <w:position w:val="0"/>
          <w:shd w:val="clear" w:color="auto" w:fill="auto"/>
          <w:lang w:val="de-DE" w:eastAsia="de-DE" w:bidi="de-DE"/>
        </w:rPr>
        <w:t xml:space="preserve">Justitia </w:t>
      </w:r>
      <w:r>
        <w:rPr>
          <w:rFonts w:ascii="Times New Roman" w:eastAsia="Times New Roman" w:hAnsi="Times New Roman" w:cs="Times New Roman"/>
          <w:color w:val="000000"/>
          <w:spacing w:val="0"/>
          <w:w w:val="100"/>
          <w:position w:val="0"/>
          <w:shd w:val="clear" w:color="auto" w:fill="auto"/>
          <w:lang w:val="en-US" w:eastAsia="en-US" w:bidi="en-US"/>
        </w:rPr>
        <w:t xml:space="preserve">” by J. A. Hild in Daremberg and Saglio’s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Dict. </w:t>
      </w:r>
      <w:r>
        <w:rPr>
          <w:rFonts w:ascii="Times New Roman" w:eastAsia="Times New Roman" w:hAnsi="Times New Roman" w:cs="Times New Roman"/>
          <w:i/>
          <w:iCs/>
          <w:color w:val="000000"/>
          <w:spacing w:val="0"/>
          <w:w w:val="100"/>
          <w:position w:val="0"/>
          <w:shd w:val="clear" w:color="auto" w:fill="auto"/>
          <w:lang w:val="fr-FR" w:eastAsia="fr-FR" w:bidi="fr-FR"/>
        </w:rPr>
        <w:t>des Antiquités;</w:t>
      </w:r>
      <w:r>
        <w:rPr>
          <w:rFonts w:ascii="Times New Roman" w:eastAsia="Times New Roman" w:hAnsi="Times New Roman" w:cs="Times New Roman"/>
          <w:color w:val="000000"/>
          <w:spacing w:val="0"/>
          <w:w w:val="100"/>
          <w:position w:val="0"/>
          <w:shd w:val="clear" w:color="auto" w:fill="auto"/>
          <w:lang w:val="fr-FR" w:eastAsia="fr-FR" w:bidi="fr-FR"/>
        </w:rPr>
        <w:t xml:space="preserve"> H.</w:t>
      </w:r>
      <w:r>
        <w:rPr>
          <w:rFonts w:ascii="Times New Roman" w:eastAsia="Times New Roman" w:hAnsi="Times New Roman" w:cs="Times New Roman"/>
          <w:color w:val="000000"/>
          <w:spacing w:val="0"/>
          <w:w w:val="100"/>
          <w:position w:val="0"/>
          <w:shd w:val="clear" w:color="auto" w:fill="auto"/>
          <w:lang w:val="en-US" w:eastAsia="en-US" w:bidi="en-US"/>
        </w:rPr>
        <w:t xml:space="preserve"> Ahrens,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Göttin </w:t>
      </w:r>
      <w:r>
        <w:rPr>
          <w:rFonts w:ascii="Times New Roman" w:eastAsia="Times New Roman" w:hAnsi="Times New Roman" w:cs="Times New Roman"/>
          <w:i/>
          <w:iCs/>
          <w:color w:val="000000"/>
          <w:spacing w:val="0"/>
          <w:w w:val="100"/>
          <w:position w:val="0"/>
          <w:shd w:val="clear" w:color="auto" w:fill="auto"/>
          <w:lang w:val="en-US" w:eastAsia="en-US" w:bidi="en-US"/>
        </w:rPr>
        <w:t>Themis</w:t>
      </w:r>
      <w:r>
        <w:rPr>
          <w:rFonts w:ascii="Times New Roman" w:eastAsia="Times New Roman" w:hAnsi="Times New Roman" w:cs="Times New Roman"/>
          <w:color w:val="000000"/>
          <w:spacing w:val="0"/>
          <w:w w:val="100"/>
          <w:position w:val="0"/>
          <w:shd w:val="clear" w:color="auto" w:fill="auto"/>
          <w:lang w:val="en-US" w:eastAsia="en-US" w:bidi="en-US"/>
        </w:rPr>
        <w:t xml:space="preserve"> (1862); R. Hirzel,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Themis, Dike, </w:t>
      </w:r>
      <w:r>
        <w:rPr>
          <w:rFonts w:ascii="Times New Roman" w:eastAsia="Times New Roman" w:hAnsi="Times New Roman" w:cs="Times New Roman"/>
          <w:i/>
          <w:iCs/>
          <w:color w:val="000000"/>
          <w:spacing w:val="0"/>
          <w:w w:val="100"/>
          <w:position w:val="0"/>
          <w:shd w:val="clear" w:color="auto" w:fill="auto"/>
          <w:lang w:val="de-DE" w:eastAsia="de-DE" w:bidi="de-DE"/>
        </w:rPr>
        <w:t>und Verwandtes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(1907).</w:t>
      </w:r>
    </w:p>
    <w:p>
      <w:pPr>
        <w:pStyle w:val="Style8"/>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THEMISTIUS </w:t>
      </w:r>
      <w:r>
        <w:rPr>
          <w:color w:val="000000"/>
          <w:spacing w:val="0"/>
          <w:w w:val="100"/>
          <w:position w:val="0"/>
          <w:shd w:val="clear" w:color="auto" w:fill="auto"/>
          <w:lang w:val="en-US" w:eastAsia="en-US" w:bidi="en-US"/>
        </w:rPr>
        <w:t xml:space="preserve">(317-?387), named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evφpaδηs</w:t>
      </w:r>
      <w:r>
        <w:rPr>
          <w:color w:val="000000"/>
          <w:spacing w:val="0"/>
          <w:w w:val="100"/>
          <w:position w:val="0"/>
          <w:shd w:val="clear" w:color="auto" w:fill="auto"/>
          <w:lang w:val="en-US" w:eastAsia="en-US" w:bidi="en-US"/>
        </w:rPr>
        <w:t xml:space="preserve"> (“eloquent”), statesman, rhetorician and philosopher, was born in Paphlagonia and taught at Constantinople, where, apart from a short sojourn in Rome, he resided during the rest of his life. Though a pagan, he was admitted to the senate by Constantius in 355. He was prefect of Constantinople in 384 on the nomination of Theodosius. His paraphrases of Aristotle’s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Posterior Analytics, Physics</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Anima</w:t>
      </w:r>
      <w:r>
        <w:rPr>
          <w:color w:val="000000"/>
          <w:spacing w:val="0"/>
          <w:w w:val="100"/>
          <w:position w:val="0"/>
          <w:shd w:val="clear" w:color="auto" w:fill="auto"/>
          <w:lang w:val="en-US" w:eastAsia="en-US" w:bidi="en-US"/>
        </w:rPr>
        <w:t xml:space="preserve"> are valuable; but the orations in which he panegyrizes successive emperors, comparing them to Plato’s “ true philosopher,” and even to the “ idea ” itself, are servile and unworthy. Against this, however, should be set the de</w:t>
        <w:softHyphen/>
        <w:t xml:space="preserve">scription given by Boetius,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disertissimus scriptor ac lucidus,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omnia ad facilitatem intelligentiae revocans,"</w:t>
      </w:r>
      <w:r>
        <w:rPr>
          <w:color w:val="000000"/>
          <w:spacing w:val="0"/>
          <w:w w:val="100"/>
          <w:position w:val="0"/>
          <w:shd w:val="clear" w:color="auto" w:fill="auto"/>
          <w:lang w:val="en-US" w:eastAsia="en-US" w:bidi="en-US"/>
        </w:rPr>
        <w:t xml:space="preserve"> and that of Gregory Nazianzen—with whom Themistius corresponded—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βaσιλta λδyωv.</w:t>
      </w:r>
      <w:r>
        <w:rPr>
          <w:color w:val="000000"/>
          <w:spacing w:val="0"/>
          <w:w w:val="100"/>
          <w:position w:val="0"/>
          <w:shd w:val="clear" w:color="auto" w:fill="auto"/>
          <w:lang w:val="en-US" w:eastAsia="en-US" w:bidi="en-US"/>
        </w:rPr>
        <w:t xml:space="preserve"> Themistius’s paraphrases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Coelo</w:t>
      </w:r>
      <w:r>
        <w:rPr>
          <w:color w:val="000000"/>
          <w:spacing w:val="0"/>
          <w:w w:val="100"/>
          <w:position w:val="0"/>
          <w:shd w:val="clear" w:color="auto" w:fill="auto"/>
          <w:lang w:val="en-US" w:eastAsia="en-US" w:bidi="en-US"/>
        </w:rPr>
        <w:t xml:space="preserve"> and of book Λ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Metaphysics</w:t>
      </w:r>
      <w:r>
        <w:rPr>
          <w:color w:val="000000"/>
          <w:spacing w:val="0"/>
          <w:w w:val="100"/>
          <w:position w:val="0"/>
          <w:shd w:val="clear" w:color="auto" w:fill="auto"/>
          <w:lang w:val="en-US" w:eastAsia="en-US" w:bidi="en-US"/>
        </w:rPr>
        <w:t xml:space="preserve"> have reached us only through Hebrew versions. In philosophy Themistius was an eclectic. He held that Plato and Aristotle were in substantial agreement, that God has made men free to adopt the mode of worship they prefer, and that Christianity and Hellenism were merely two forms of the one universal religion.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edition of Themistius’s works (Venice, 1534) included the paraphrases and eight of the orations. Nineteen orations were known to Petavius, whose editions appeared in 1613 and 1618; Hardouin (Paris, 1684) gives thirty-three. Another oration was discovered by Angelo Mai, and published at Milan in 1816. The most recent editions are W. Dindorf’s of the orations (Leipzig, 1832), and L. Spengel’s of the paraphrases (Leipzig, 1866). The Latin translations of the Hebrew versions of the paraphrases of the </w:t>
      </w:r>
      <w:r>
        <w:rPr>
          <w:rFonts w:ascii="Times New Roman" w:eastAsia="Times New Roman" w:hAnsi="Times New Roman" w:cs="Times New Roman"/>
          <w:i/>
          <w:iCs/>
          <w:color w:val="000000"/>
          <w:spacing w:val="0"/>
          <w:w w:val="100"/>
          <w:position w:val="0"/>
          <w:shd w:val="clear" w:color="auto" w:fill="auto"/>
          <w:lang w:val="en-US" w:eastAsia="en-US" w:bidi="en-US"/>
        </w:rPr>
        <w:t>De Coelo</w:t>
      </w:r>
      <w:r>
        <w:rPr>
          <w:rFonts w:ascii="Times New Roman" w:eastAsia="Times New Roman" w:hAnsi="Times New Roman" w:cs="Times New Roman"/>
          <w:color w:val="000000"/>
          <w:spacing w:val="0"/>
          <w:w w:val="100"/>
          <w:position w:val="0"/>
          <w:shd w:val="clear" w:color="auto" w:fill="auto"/>
          <w:lang w:val="en-US" w:eastAsia="en-US" w:bidi="en-US"/>
        </w:rPr>
        <w:t xml:space="preserve"> and book </w:t>
      </w:r>
      <w:r>
        <w:rPr>
          <w:rFonts w:ascii="Times New Roman" w:eastAsia="Times New Roman" w:hAnsi="Times New Roman" w:cs="Times New Roman"/>
          <w:color w:val="000000"/>
          <w:spacing w:val="0"/>
          <w:w w:val="100"/>
          <w:position w:val="0"/>
          <w:shd w:val="clear" w:color="auto" w:fill="auto"/>
          <w:lang w:val="en-US" w:eastAsia="en-US" w:bidi="en-US"/>
        </w:rPr>
        <w:t>Λ</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were published at Venice in 1574 and 1558 respectively. A new edition of the latter by S. </w:t>
      </w:r>
      <w:r>
        <w:rPr>
          <w:rFonts w:ascii="Times New Roman" w:eastAsia="Times New Roman" w:hAnsi="Times New Roman" w:cs="Times New Roman"/>
          <w:color w:val="000000"/>
          <w:spacing w:val="0"/>
          <w:w w:val="100"/>
          <w:position w:val="0"/>
          <w:shd w:val="clear" w:color="auto" w:fill="auto"/>
          <w:lang w:val="de-DE" w:eastAsia="de-DE" w:bidi="de-DE"/>
        </w:rPr>
        <w:t xml:space="preserve">Landauer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1903. See Fabricius, </w:t>
      </w:r>
      <w:r>
        <w:rPr>
          <w:rFonts w:ascii="Times New Roman" w:eastAsia="Times New Roman" w:hAnsi="Times New Roman" w:cs="Times New Roman"/>
          <w:i/>
          <w:iCs/>
          <w:color w:val="000000"/>
          <w:spacing w:val="0"/>
          <w:w w:val="100"/>
          <w:position w:val="0"/>
          <w:shd w:val="clear" w:color="auto" w:fill="auto"/>
          <w:lang w:val="en-US" w:eastAsia="en-US" w:bidi="en-US"/>
        </w:rPr>
        <w:t>Bibliotheca Graeca,</w:t>
      </w:r>
      <w:r>
        <w:rPr>
          <w:rFonts w:ascii="Times New Roman" w:eastAsia="Times New Roman" w:hAnsi="Times New Roman" w:cs="Times New Roman"/>
          <w:color w:val="000000"/>
          <w:spacing w:val="0"/>
          <w:w w:val="100"/>
          <w:position w:val="0"/>
          <w:shd w:val="clear" w:color="auto" w:fill="auto"/>
          <w:lang w:val="en-US" w:eastAsia="en-US" w:bidi="en-US"/>
        </w:rPr>
        <w:t xml:space="preserve"> vi. 790 seq. ; E. Zeller</w:t>
      </w:r>
      <w:r>
        <w:rPr>
          <w:rFonts w:ascii="Times New Roman" w:eastAsia="Times New Roman" w:hAnsi="Times New Roman" w:cs="Times New Roman"/>
          <w:i/>
          <w:iCs/>
          <w:color w:val="000000"/>
          <w:spacing w:val="0"/>
          <w:w w:val="100"/>
          <w:position w:val="0"/>
          <w:shd w:val="clear" w:color="auto" w:fill="auto"/>
          <w:lang w:val="en-US" w:eastAsia="en-US" w:bidi="en-US"/>
        </w:rPr>
        <w:t>, History of Greek Phil.; E. Baret, De Themist, sophista</w:t>
      </w:r>
      <w:r>
        <w:rPr>
          <w:rFonts w:ascii="Times New Roman" w:eastAsia="Times New Roman" w:hAnsi="Times New Roman" w:cs="Times New Roman"/>
          <w:color w:val="000000"/>
          <w:spacing w:val="0"/>
          <w:w w:val="100"/>
          <w:position w:val="0"/>
          <w:shd w:val="clear" w:color="auto" w:fill="auto"/>
          <w:lang w:val="en-US" w:eastAsia="en-US" w:bidi="en-US"/>
        </w:rPr>
        <w:t xml:space="preserve"> (Paris, 1853); Jourdain’s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Recherches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critiques </w:t>
      </w:r>
      <w:r>
        <w:rPr>
          <w:rFonts w:ascii="Times New Roman" w:eastAsia="Times New Roman" w:hAnsi="Times New Roman" w:cs="Times New Roman"/>
          <w:i/>
          <w:iCs/>
          <w:color w:val="000000"/>
          <w:spacing w:val="0"/>
          <w:w w:val="100"/>
          <w:position w:val="0"/>
          <w:shd w:val="clear" w:color="auto" w:fill="auto"/>
          <w:lang w:val="fr-FR" w:eastAsia="fr-FR" w:bidi="fr-FR"/>
        </w:rPr>
        <w:t>sur l’âge et l’origine des traductions latines d’Aristote</w:t>
      </w:r>
      <w:r>
        <w:rPr>
          <w:rFonts w:ascii="Times New Roman" w:eastAsia="Times New Roman" w:hAnsi="Times New Roman" w:cs="Times New Roman"/>
          <w:color w:val="000000"/>
          <w:spacing w:val="0"/>
          <w:w w:val="100"/>
          <w:position w:val="0"/>
          <w:shd w:val="clear" w:color="auto" w:fill="auto"/>
          <w:lang w:val="fr-FR" w:eastAsia="fr-FR" w:bidi="fr-FR"/>
        </w:rPr>
        <w:t xml:space="preserve"> (Paris, 1819);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Neoplatonism.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For Themistius’s </w:t>
      </w:r>
      <w:r>
        <w:rPr>
          <w:rFonts w:ascii="Times New Roman" w:eastAsia="Times New Roman" w:hAnsi="Times New Roman" w:cs="Times New Roman"/>
          <w:color w:val="000000"/>
          <w:spacing w:val="0"/>
          <w:w w:val="100"/>
          <w:position w:val="0"/>
          <w:shd w:val="clear" w:color="auto" w:fill="auto"/>
          <w:lang w:val="en-US" w:eastAsia="en-US" w:bidi="en-US"/>
        </w:rPr>
        <w:t xml:space="preserve">Commentaries on Aristotle, see </w:t>
      </w:r>
      <w:r>
        <w:rPr>
          <w:rFonts w:ascii="Times New Roman" w:eastAsia="Times New Roman" w:hAnsi="Times New Roman" w:cs="Times New Roman"/>
          <w:i/>
          <w:iCs/>
          <w:color w:val="000000"/>
          <w:spacing w:val="0"/>
          <w:w w:val="100"/>
          <w:position w:val="0"/>
          <w:shd w:val="clear" w:color="auto" w:fill="auto"/>
          <w:lang w:val="en-US" w:eastAsia="en-US" w:bidi="en-US"/>
        </w:rPr>
        <w:t>Commentaria in Aristotelem Graeca</w:t>
      </w:r>
      <w:r>
        <w:rPr>
          <w:rFonts w:ascii="Times New Roman" w:eastAsia="Times New Roman" w:hAnsi="Times New Roman" w:cs="Times New Roman"/>
          <w:color w:val="000000"/>
          <w:spacing w:val="0"/>
          <w:w w:val="100"/>
          <w:position w:val="0"/>
          <w:shd w:val="clear" w:color="auto" w:fill="auto"/>
          <w:lang w:val="en-US" w:eastAsia="en-US" w:bidi="en-US"/>
        </w:rPr>
        <w:t xml:space="preserve"> (Berlin), and also </w:t>
      </w:r>
      <w:r>
        <w:rPr>
          <w:rFonts w:ascii="Times New Roman" w:eastAsia="Times New Roman" w:hAnsi="Times New Roman" w:cs="Times New Roman"/>
          <w:i/>
          <w:iCs/>
          <w:color w:val="000000"/>
          <w:spacing w:val="0"/>
          <w:w w:val="100"/>
          <w:position w:val="0"/>
          <w:shd w:val="clear" w:color="auto" w:fill="auto"/>
          <w:lang w:val="en-US" w:eastAsia="en-US" w:bidi="en-US"/>
        </w:rPr>
        <w:t>Themistii paraphrases Aristotelis librorum quae supersunt,</w:t>
      </w:r>
      <w:r>
        <w:rPr>
          <w:rFonts w:ascii="Times New Roman" w:eastAsia="Times New Roman" w:hAnsi="Times New Roman" w:cs="Times New Roman"/>
          <w:color w:val="000000"/>
          <w:spacing w:val="0"/>
          <w:w w:val="100"/>
          <w:position w:val="0"/>
          <w:shd w:val="clear" w:color="auto" w:fill="auto"/>
          <w:lang w:val="en-US" w:eastAsia="en-US" w:bidi="en-US"/>
        </w:rPr>
        <w:t xml:space="preserve"> ed. L. Spengel (1866, Teubner series, mentioned above).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THEMISTOCLES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lang w:val="en-US" w:eastAsia="en-US" w:bidi="en-US"/>
        </w:rPr>
        <w:t xml:space="preserve"> 514-449 B.c.), Athenian soldier and statesman in some respects probably the ablest and most far</w:t>
        <w:softHyphen/>
        <w:t xml:space="preserve">sighted whom Greece produced in the first half of the 5tl1 century. He was the son of Neocles, an Athenian of no distinction and moderate means, his mother being a Carian or a Thracian. Hence according to the Periclean law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eξ aμφoiv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άστοΐν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he would not have been a free Athenian at all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Pericles). </w:t>
      </w:r>
      <w:r>
        <w:rPr>
          <w:color w:val="000000"/>
          <w:spacing w:val="0"/>
          <w:w w:val="100"/>
          <w:position w:val="0"/>
          <w:shd w:val="clear" w:color="auto" w:fill="auto"/>
          <w:lang w:val="en-US" w:eastAsia="en-US" w:bidi="en-US"/>
        </w:rPr>
        <w:t>Thucydides properly brings out the fact that, though he lacked that education which was the peculiar glory of the Periclean age, he displayed a marvellous power of analysing a complex situation together with a genius for rapid action. Plutarch similarly enlarges on his consuming ambition for power both</w:t>
      </w:r>
    </w:p>
    <w:sectPr>
      <w:footnotePr>
        <w:pos w:val="pageBottom"/>
        <w:numFmt w:val="decimal"/>
        <w:numRestart w:val="continuous"/>
      </w:footnotePr>
      <w:pgSz w:w="12240" w:h="15840"/>
      <w:pgMar w:top="1229" w:left="1382" w:right="797" w:bottom="8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6)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8">
    <w:name w:val="Body text (6)"/>
    <w:basedOn w:val="Normal"/>
    <w:link w:val="CharStyle9"/>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