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Theodorean and the later Petrine reforms was that while the former were primarily, though not exclusively, for the benefit of the church, the latter were primarily for the benefit of the state. The most notable reform of Theodore III., however, was the abolition, at the suggestion of Vasily Golitsuin,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Myestnechestvo,</w:t>
      </w:r>
      <w:r>
        <w:rPr>
          <w:color w:val="000000"/>
          <w:spacing w:val="0"/>
          <w:w w:val="100"/>
          <w:position w:val="0"/>
          <w:shd w:val="clear" w:color="auto" w:fill="auto"/>
          <w:lang w:val="en-US" w:eastAsia="en-US" w:bidi="en-US"/>
        </w:rPr>
        <w:t xml:space="preserve"> or “place priority,” which had paralyzed the whole civil and military administration of Muscovy for genera</w:t>
        <w:softHyphen/>
        <w:t xml:space="preserve">tions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Golitsuin).</w:t>
      </w:r>
      <w:r>
        <w:rPr>
          <w:color w:val="000000"/>
          <w:spacing w:val="0"/>
          <w:w w:val="100"/>
          <w:position w:val="0"/>
          <w:shd w:val="clear" w:color="auto" w:fill="auto"/>
          <w:lang w:val="en-US" w:eastAsia="en-US" w:bidi="en-US"/>
        </w:rPr>
        <w:t xml:space="preserve"> Henceforth all appointments to the civil and military services were to be determined by merit and the will of the sovereign. Theodore’s consort, Agatha, shared his progressive views. She was the first to advocate beard</w:t>
        <w:softHyphen/>
        <w:t>shearing. On her death (4th of July 1681) Theodore married Martha Apraksina. He died on the 27th of April 1682, with</w:t>
        <w:softHyphen/>
        <w:t>out issue.</w:t>
      </w:r>
    </w:p>
    <w:p>
      <w:pPr>
        <w:pStyle w:val="Style7"/>
        <w:keepNext w:val="0"/>
        <w:keepLines w:val="0"/>
        <w:widowControl w:val="0"/>
        <w:shd w:val="clear" w:color="auto" w:fill="auto"/>
        <w:tabs>
          <w:tab w:pos="3972"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Μ. P. Pogodin, </w:t>
      </w:r>
      <w:r>
        <w:rPr>
          <w:rFonts w:ascii="Times New Roman" w:eastAsia="Times New Roman" w:hAnsi="Times New Roman" w:cs="Times New Roman"/>
          <w:i/>
          <w:iCs/>
          <w:color w:val="000000"/>
          <w:spacing w:val="0"/>
          <w:w w:val="100"/>
          <w:position w:val="0"/>
          <w:shd w:val="clear" w:color="auto" w:fill="auto"/>
          <w:lang w:val="en-US" w:eastAsia="en-US" w:bidi="en-US"/>
        </w:rPr>
        <w:t>The First Seventeen Years of the Life of Peter the Great</w:t>
      </w:r>
      <w:r>
        <w:rPr>
          <w:rFonts w:ascii="Times New Roman" w:eastAsia="Times New Roman" w:hAnsi="Times New Roman" w:cs="Times New Roman"/>
          <w:color w:val="000000"/>
          <w:spacing w:val="0"/>
          <w:w w:val="100"/>
          <w:position w:val="0"/>
          <w:shd w:val="clear" w:color="auto" w:fill="auto"/>
          <w:lang w:val="en-US" w:eastAsia="en-US" w:bidi="en-US"/>
        </w:rPr>
        <w:t xml:space="preserve"> (Rus.) (Moscow, 1875).</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 </w:t>
      </w:r>
      <w:r>
        <w:rPr>
          <w:color w:val="000000"/>
          <w:spacing w:val="0"/>
          <w:w w:val="100"/>
          <w:position w:val="0"/>
          <w:shd w:val="clear" w:color="auto" w:fill="auto"/>
          <w:lang w:val="en-US" w:eastAsia="en-US" w:bidi="en-US"/>
        </w:rPr>
        <w:t xml:space="preserve">(602-690), seventh archbishop of Canterbury, was born at Tarsus in Cilicia in 602. On the death of </w:t>
      </w:r>
      <w:r>
        <w:rPr>
          <w:color w:val="000000"/>
          <w:spacing w:val="0"/>
          <w:w w:val="100"/>
          <w:position w:val="0"/>
          <w:shd w:val="clear" w:color="auto" w:fill="auto"/>
          <w:lang w:val="de-DE" w:eastAsia="de-DE" w:bidi="de-DE"/>
        </w:rPr>
        <w:t xml:space="preserve">Wighard, </w:t>
      </w:r>
      <w:r>
        <w:rPr>
          <w:color w:val="000000"/>
          <w:spacing w:val="0"/>
          <w:w w:val="100"/>
          <w:position w:val="0"/>
          <w:shd w:val="clear" w:color="auto" w:fill="auto"/>
          <w:lang w:val="en-US" w:eastAsia="en-US" w:bidi="en-US"/>
        </w:rPr>
        <w:t xml:space="preserve">who had been sent to Pope Vitalian by </w:t>
      </w:r>
      <w:r>
        <w:rPr>
          <w:color w:val="000000"/>
          <w:spacing w:val="0"/>
          <w:w w:val="100"/>
          <w:position w:val="0"/>
          <w:shd w:val="clear" w:color="auto" w:fill="auto"/>
          <w:lang w:val="de-DE" w:eastAsia="de-DE" w:bidi="de-DE"/>
        </w:rPr>
        <w:t xml:space="preserve">Ecgberht </w:t>
      </w:r>
      <w:r>
        <w:rPr>
          <w:color w:val="000000"/>
          <w:spacing w:val="0"/>
          <w:w w:val="100"/>
          <w:position w:val="0"/>
          <w:shd w:val="clear" w:color="auto" w:fill="auto"/>
          <w:lang w:val="en-US" w:eastAsia="en-US" w:bidi="en-US"/>
        </w:rPr>
        <w:t>of Kent and Oswio of Northumbria in 667, apparently for consecration as archbishop, Theodore, who had become prominent in the Eastern work of the church, was recommended by Hadrian of Niridanum to fill the vacant see. Vitalian consecrated Theodore in April 688 on condition that Hadrian, afterwards abbot of St Peter’s, Canterbury, should go with him. Hadrian was detained for some time by Ebroin, the Neustrian mayor of the palace, but Theodore reached England in May 669. According to Bede’s account he made a tour of the whole of Anglo-Saxoh England, reforming abuses and giving instruction as to the monastic rule and the canonical Easter. Bede also declares that he was the first archbishop to whom all the “ church of the Angles ” submitted. From the first he seems to have ignored the scheme for a separate province of York, but he reorganized the episco</w:t>
        <w:softHyphen/>
        <w:t>pate, assigning Bisi to East Anglia, Putta to Rochester, Hloth- here to Wessex, and Ceadda after reconsecration to Mercia. He brought the monastic education up to date by introducing literary, metrical and musical studies. In 673 Theodore pre</w:t>
        <w:softHyphen/>
        <w:t xml:space="preserve">sided at the first synod of the clergy in England which was held at Hertford. Various disciplinary regulations were emphasized, and an annual meeting arranged at a place called Cloveshoe. After this council Theodore revived the East Saxon bishopric, to which he appointed Earconwald. Soon after the first expulsion of Wilfrid in 678 he divided the Northumbrian diocese, appointing Trumwine bishop to the Picts. This led to a quarrel with Wilfrid which was not finally settled until 686-687. In 670 Theodore intervened to make peace between </w:t>
      </w:r>
      <w:r>
        <w:rPr>
          <w:color w:val="000000"/>
          <w:spacing w:val="0"/>
          <w:w w:val="100"/>
          <w:position w:val="0"/>
          <w:shd w:val="clear" w:color="auto" w:fill="auto"/>
          <w:lang w:val="de-DE" w:eastAsia="de-DE" w:bidi="de-DE"/>
        </w:rPr>
        <w:t xml:space="preserve">Ecgfrith </w:t>
      </w:r>
      <w:r>
        <w:rPr>
          <w:color w:val="000000"/>
          <w:spacing w:val="0"/>
          <w:w w:val="100"/>
          <w:position w:val="0"/>
          <w:shd w:val="clear" w:color="auto" w:fill="auto"/>
          <w:lang w:val="en-US" w:eastAsia="en-US" w:bidi="en-US"/>
        </w:rPr>
        <w:t xml:space="preserve">of Northumbria and </w:t>
      </w:r>
      <w:r>
        <w:rPr>
          <w:color w:val="000000"/>
          <w:spacing w:val="0"/>
          <w:w w:val="100"/>
          <w:position w:val="0"/>
          <w:shd w:val="clear" w:color="auto" w:fill="auto"/>
          <w:lang w:val="de-DE" w:eastAsia="de-DE" w:bidi="de-DE"/>
        </w:rPr>
        <w:t xml:space="preserve">Aethelred </w:t>
      </w:r>
      <w:r>
        <w:rPr>
          <w:color w:val="000000"/>
          <w:spacing w:val="0"/>
          <w:w w:val="100"/>
          <w:position w:val="0"/>
          <w:shd w:val="clear" w:color="auto" w:fill="auto"/>
          <w:lang w:val="en-US" w:eastAsia="en-US" w:bidi="en-US"/>
        </w:rPr>
        <w:t>of Mercia. He presided at other synods held in 680 at Hatfield and in 684 at Twyford, and died in 690. A penitential composed under Theodore’s direction is still extant.</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Bede, </w:t>
      </w:r>
      <w:r>
        <w:rPr>
          <w:rFonts w:ascii="Times New Roman" w:eastAsia="Times New Roman" w:hAnsi="Times New Roman" w:cs="Times New Roman"/>
          <w:i/>
          <w:iCs/>
          <w:color w:val="000000"/>
          <w:spacing w:val="0"/>
          <w:w w:val="100"/>
          <w:position w:val="0"/>
          <w:shd w:val="clear" w:color="auto" w:fill="auto"/>
          <w:lang w:val="en-US" w:eastAsia="en-US" w:bidi="en-US"/>
        </w:rPr>
        <w:t>Hist. Eccl.,</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C. Plummer (Oxford, 1896) ; Eddius, </w:t>
      </w:r>
      <w:r>
        <w:rPr>
          <w:rFonts w:ascii="Times New Roman" w:eastAsia="Times New Roman" w:hAnsi="Times New Roman" w:cs="Times New Roman"/>
          <w:i/>
          <w:iCs/>
          <w:color w:val="000000"/>
          <w:spacing w:val="0"/>
          <w:w w:val="100"/>
          <w:position w:val="0"/>
          <w:shd w:val="clear" w:color="auto" w:fill="auto"/>
          <w:lang w:val="en-US" w:eastAsia="en-US" w:bidi="en-US"/>
        </w:rPr>
        <w:t>Vita Wilfridii</w:t>
      </w:r>
      <w:r>
        <w:rPr>
          <w:rFonts w:ascii="Times New Roman" w:eastAsia="Times New Roman" w:hAnsi="Times New Roman" w:cs="Times New Roman"/>
          <w:color w:val="000000"/>
          <w:spacing w:val="0"/>
          <w:w w:val="100"/>
          <w:position w:val="0"/>
          <w:shd w:val="clear" w:color="auto" w:fill="auto"/>
          <w:lang w:val="en-US" w:eastAsia="en-US" w:bidi="en-US"/>
        </w:rPr>
        <w:t xml:space="preserve"> in J. Raine’s </w:t>
      </w:r>
      <w:r>
        <w:rPr>
          <w:rFonts w:ascii="Times New Roman" w:eastAsia="Times New Roman" w:hAnsi="Times New Roman" w:cs="Times New Roman"/>
          <w:i/>
          <w:iCs/>
          <w:color w:val="000000"/>
          <w:spacing w:val="0"/>
          <w:w w:val="100"/>
          <w:position w:val="0"/>
          <w:shd w:val="clear" w:color="auto" w:fill="auto"/>
          <w:lang w:val="en-US" w:eastAsia="en-US" w:bidi="en-US"/>
        </w:rPr>
        <w:t>Historians of the Church of York,</w:t>
      </w:r>
      <w:r>
        <w:rPr>
          <w:rFonts w:ascii="Times New Roman" w:eastAsia="Times New Roman" w:hAnsi="Times New Roman" w:cs="Times New Roman"/>
          <w:color w:val="000000"/>
          <w:spacing w:val="0"/>
          <w:w w:val="100"/>
          <w:position w:val="0"/>
          <w:shd w:val="clear" w:color="auto" w:fill="auto"/>
          <w:lang w:val="en-US" w:eastAsia="en-US" w:bidi="en-US"/>
        </w:rPr>
        <w:t xml:space="preserve"> vol. i. (London, 1879); </w:t>
      </w:r>
      <w:r>
        <w:rPr>
          <w:rFonts w:ascii="Times New Roman" w:eastAsia="Times New Roman" w:hAnsi="Times New Roman" w:cs="Times New Roman"/>
          <w:i/>
          <w:iCs/>
          <w:color w:val="000000"/>
          <w:spacing w:val="0"/>
          <w:w w:val="100"/>
          <w:position w:val="0"/>
          <w:shd w:val="clear" w:color="auto" w:fill="auto"/>
          <w:lang w:val="en-US" w:eastAsia="en-US" w:bidi="en-US"/>
        </w:rPr>
        <w:t>Anglo-Saxon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Earle and Plummer (Oxford, 1899); Haddan and Stubbs, </w:t>
      </w:r>
      <w:r>
        <w:rPr>
          <w:rFonts w:ascii="Times New Roman" w:eastAsia="Times New Roman" w:hAnsi="Times New Roman" w:cs="Times New Roman"/>
          <w:i/>
          <w:iCs/>
          <w:color w:val="000000"/>
          <w:spacing w:val="0"/>
          <w:w w:val="100"/>
          <w:position w:val="0"/>
          <w:shd w:val="clear" w:color="auto" w:fill="auto"/>
          <w:lang w:val="en-US" w:eastAsia="en-US" w:bidi="en-US"/>
        </w:rPr>
        <w:t>Councils and Ecclesiastical Documents</w:t>
      </w:r>
      <w:r>
        <w:rPr>
          <w:rFonts w:ascii="Times New Roman" w:eastAsia="Times New Roman" w:hAnsi="Times New Roman" w:cs="Times New Roman"/>
          <w:color w:val="000000"/>
          <w:spacing w:val="0"/>
          <w:w w:val="100"/>
          <w:position w:val="0"/>
          <w:shd w:val="clear" w:color="auto" w:fill="auto"/>
          <w:lang w:val="en-US" w:eastAsia="en-US" w:bidi="en-US"/>
        </w:rPr>
        <w:t xml:space="preserve"> (Oxford, 1869-78), iii. 173-213.</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 LASCARIS </w:t>
      </w:r>
      <w:r>
        <w:rPr>
          <w:color w:val="000000"/>
          <w:spacing w:val="0"/>
          <w:w w:val="100"/>
          <w:position w:val="0"/>
          <w:shd w:val="clear" w:color="auto" w:fill="auto"/>
          <w:lang w:val="en-US" w:eastAsia="en-US" w:bidi="en-US"/>
        </w:rPr>
        <w:t>(d. 1222), emperor of Nicaea, was born of a noble Byzantine family. He became the son-in-law of the Emperor Alexius III. and distinguished himself during the sieges of Constantinople by the Latins (1203-4). After the capture of the city he gathered a band of fugitives in Bithynia and established himself in the town of Nicaea, which became the chief rallying-point for his countrymen. Relieved of the danger of invasion by a Latin force which had defeated him in 1204 but was recalled to Europe by a Bulgarian invasion, he set to work to form a new Byzantine state in Asia Minor, and in 1206 assumed the title of emperor. During the next years Theodore was beset by enemies on divers sides. He main</w:t>
        <w:softHyphen/>
        <w:t xml:space="preserve">tained himself stubbornly in defensive campaigns against the Latin emperor Henry, defeated his rival Alexius Comnenus of Trebizond, and carried out a successful counter-attack upon Gayath-ed-din, the sultan of Koniah, who had been instigated to war by the deposed Alexius III. Theodore’s crowning </w:t>
      </w:r>
      <w:r>
        <w:rPr>
          <w:color w:val="000000"/>
          <w:spacing w:val="0"/>
          <w:w w:val="100"/>
          <w:position w:val="0"/>
          <w:shd w:val="clear" w:color="auto" w:fill="auto"/>
          <w:lang w:val="en-US" w:eastAsia="en-US" w:bidi="en-US"/>
        </w:rPr>
        <w:t>victory was gained in 1210, when in a battle near Pisidian Antioch he captured Alexius and wrested the town itself from the Turks. At the end of his reign he ruled over a territory roughly conterminous with the old Roman provinces of Asia and Bithynia. Though there is no proof of higher qualities of statesmanship in him, by his courage and military skill he enabled the Byzantine nation not merely to survive, but ultimately to beat back the Latin invasion.</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Gibbon, </w:t>
      </w:r>
      <w:r>
        <w:rPr>
          <w:rFonts w:ascii="Times New Roman" w:eastAsia="Times New Roman" w:hAnsi="Times New Roman" w:cs="Times New Roman"/>
          <w:i/>
          <w:iCs/>
          <w:color w:val="000000"/>
          <w:spacing w:val="0"/>
          <w:w w:val="100"/>
          <w:position w:val="0"/>
          <w:shd w:val="clear" w:color="auto" w:fill="auto"/>
          <w:lang w:val="en-US" w:eastAsia="en-US" w:bidi="en-US"/>
        </w:rPr>
        <w:t>The Decline and Fall of the Roman Empire,</w:t>
      </w:r>
      <w:r>
        <w:rPr>
          <w:rFonts w:ascii="Times New Roman" w:eastAsia="Times New Roman" w:hAnsi="Times New Roman" w:cs="Times New Roman"/>
          <w:color w:val="000000"/>
          <w:spacing w:val="0"/>
          <w:w w:val="100"/>
          <w:position w:val="0"/>
          <w:shd w:val="clear" w:color="auto" w:fill="auto"/>
          <w:lang w:val="en-US" w:eastAsia="en-US" w:bidi="en-US"/>
        </w:rPr>
        <w:t xml:space="preserve"> vol. vi., ed. J. B. Bury (London, 1896); G. Finlay,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vol. iii. (Oxford, 1877); and A. Meliarakes, </w:t>
      </w:r>
      <w:r>
        <w:rPr>
          <w:rFonts w:ascii="Times New Roman" w:eastAsia="Times New Roman" w:hAnsi="Times New Roman" w:cs="Times New Roman"/>
          <w:color w:val="000000"/>
          <w:spacing w:val="0"/>
          <w:w w:val="100"/>
          <w:position w:val="0"/>
          <w:shd w:val="clear" w:color="auto" w:fill="auto"/>
          <w:lang w:val="el-GR" w:eastAsia="el-GR" w:bidi="el-GR"/>
        </w:rPr>
        <w:t xml:space="preserve">'Ιστορία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too</w:t>
      </w:r>
      <w:r>
        <w:rPr>
          <w:rFonts w:ascii="Times New Roman" w:eastAsia="Times New Roman" w:hAnsi="Times New Roman" w:cs="Times New Roman"/>
          <w:color w:val="000000"/>
          <w:spacing w:val="0"/>
          <w:w w:val="100"/>
          <w:position w:val="0"/>
          <w:shd w:val="clear" w:color="auto" w:fill="auto"/>
          <w:lang w:val="en-US" w:eastAsia="en-US" w:bidi="en-US"/>
        </w:rPr>
        <w:t xml:space="preserve"> Bασιλfιou τ</w:t>
      </w:r>
      <w:r>
        <w:rPr>
          <w:rFonts w:ascii="Times New Roman" w:eastAsia="Times New Roman" w:hAnsi="Times New Roman" w:cs="Times New Roman"/>
          <w:color w:val="000000"/>
          <w:spacing w:val="0"/>
          <w:w w:val="100"/>
          <w:position w:val="0"/>
          <w:shd w:val="clear" w:color="auto" w:fill="auto"/>
          <w:lang w:val="en-US" w:eastAsia="en-US" w:bidi="en-US"/>
        </w:rPr>
        <w:t>ήs</w:t>
      </w:r>
      <w:r>
        <w:rPr>
          <w:rFonts w:ascii="Times New Roman" w:eastAsia="Times New Roman" w:hAnsi="Times New Roman" w:cs="Times New Roman"/>
          <w:color w:val="000000"/>
          <w:spacing w:val="0"/>
          <w:w w:val="100"/>
          <w:position w:val="0"/>
          <w:shd w:val="clear" w:color="auto" w:fill="auto"/>
          <w:lang w:val="en-US" w:eastAsia="en-US" w:bidi="en-US"/>
        </w:rPr>
        <w:t xml:space="preserve"> Nixáias </w:t>
      </w:r>
      <w:r>
        <w:rPr>
          <w:rFonts w:ascii="Times New Roman" w:eastAsia="Times New Roman" w:hAnsi="Times New Roman" w:cs="Times New Roman"/>
          <w:i/>
          <w:iCs/>
          <w:color w:val="000000"/>
          <w:spacing w:val="0"/>
          <w:w w:val="100"/>
          <w:position w:val="0"/>
          <w:shd w:val="clear" w:color="auto" w:fill="auto"/>
          <w:lang w:val="en-US" w:eastAsia="en-US" w:bidi="en-US"/>
        </w:rPr>
        <w:t>κal roû</w:t>
      </w:r>
      <w:r>
        <w:rPr>
          <w:rFonts w:ascii="Times New Roman" w:eastAsia="Times New Roman" w:hAnsi="Times New Roman" w:cs="Times New Roman"/>
          <w:color w:val="000000"/>
          <w:spacing w:val="0"/>
          <w:w w:val="100"/>
          <w:position w:val="0"/>
          <w:shd w:val="clear" w:color="auto" w:fill="auto"/>
          <w:lang w:val="en-US" w:eastAsia="en-US" w:bidi="en-US"/>
        </w:rPr>
        <w:t xml:space="preserve"> ∆eσιroτiτoo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τηs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Hπlιρou</w:t>
      </w:r>
      <w:r>
        <w:rPr>
          <w:rFonts w:ascii="Times New Roman" w:eastAsia="Times New Roman" w:hAnsi="Times New Roman" w:cs="Times New Roman"/>
          <w:color w:val="000000"/>
          <w:spacing w:val="0"/>
          <w:w w:val="100"/>
          <w:position w:val="0"/>
          <w:shd w:val="clear" w:color="auto" w:fill="auto"/>
          <w:lang w:val="en-US" w:eastAsia="en-US" w:bidi="en-US"/>
        </w:rPr>
        <w:t xml:space="preserve"> (Athens, 1898).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Theodore’s grandson,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Theodore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 (Lascaris), emperor from 1254 to 1258, is chiefly noticeable for two brilliant campaigns by which he recovered Thrace from the Bulgarians (1255-56). His ill-health and early death prevented his making full use of his ability as a ruler.</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Μ. J. B. Pappadopoulos,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Théodore II. Lascaris,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empereur </w:t>
      </w:r>
      <w:r>
        <w:rPr>
          <w:rFonts w:ascii="Times New Roman" w:eastAsia="Times New Roman" w:hAnsi="Times New Roman" w:cs="Times New Roman"/>
          <w:i/>
          <w:iCs/>
          <w:color w:val="000000"/>
          <w:spacing w:val="0"/>
          <w:w w:val="100"/>
          <w:position w:val="0"/>
          <w:shd w:val="clear" w:color="auto" w:fill="auto"/>
          <w:lang w:val="en-US" w:eastAsia="en-US" w:bidi="en-US"/>
        </w:rPr>
        <w:t>de Nicée</w:t>
      </w:r>
      <w:r>
        <w:rPr>
          <w:rFonts w:ascii="Times New Roman" w:eastAsia="Times New Roman" w:hAnsi="Times New Roman" w:cs="Times New Roman"/>
          <w:color w:val="000000"/>
          <w:spacing w:val="0"/>
          <w:w w:val="100"/>
          <w:position w:val="0"/>
          <w:shd w:val="clear" w:color="auto" w:fill="auto"/>
          <w:lang w:val="en-US" w:eastAsia="en-US" w:bidi="en-US"/>
        </w:rPr>
        <w:t xml:space="preserve"> (Paris, 1908).</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Irene Lascaris,</w:t>
      </w:r>
      <w:r>
        <w:rPr>
          <w:color w:val="000000"/>
          <w:spacing w:val="0"/>
          <w:w w:val="100"/>
          <w:position w:val="0"/>
          <w:shd w:val="clear" w:color="auto" w:fill="auto"/>
          <w:lang w:val="en-US" w:eastAsia="en-US" w:bidi="en-US"/>
        </w:rPr>
        <w:t xml:space="preserve"> daughter of Theodore I. (Lascaris), was first married to the general Andronicus Palaeologus, and after his death became the wife of Theodore’s successor, John Vatatzes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and mother of Theodore II. She is much praised by historians for her modesty and prudence, and is said to have brought about by her example a considerable improvement in the morals of her nation. She died some ten years before her husband.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 OF MOPSUESTIA </w:t>
      </w:r>
      <w:r>
        <w:rPr>
          <w:color w:val="000000"/>
          <w:spacing w:val="0"/>
          <w:w w:val="100"/>
          <w:position w:val="0"/>
          <w:shd w:val="clear" w:color="auto" w:fill="auto"/>
          <w:lang w:val="en-US" w:eastAsia="en-US" w:bidi="en-US"/>
        </w:rPr>
        <w:t xml:space="preserve">(c. 350-428), early Christian theologian, the most eminent representative of the so-called school of Antioch, was born at Antioch about the middle of the 4th century and was a friend of John Chrysostom; in rhetoric the celebrated Libanius was his teacher. Soon, however, he attached himself to the school of the great exegete and ascetic, Diodorus, a presbyter in Antioch, and with only a transitory period of vacillation, from which he was won back by Chrysostom, he remained faithful to the theology and ascetic discipline of this master. Under Diodorus he became a skilful exegete, and ultimately outstripped his master in biblical learning. About 383 Theodore became a presbyter in Antioch, and began to write against Eunomius the Arian and against the christology of </w:t>
      </w:r>
      <w:r>
        <w:rPr>
          <w:color w:val="000000"/>
          <w:spacing w:val="0"/>
          <w:w w:val="100"/>
          <w:position w:val="0"/>
          <w:shd w:val="clear" w:color="auto" w:fill="auto"/>
          <w:lang w:val="de-DE" w:eastAsia="de-DE" w:bidi="de-DE"/>
        </w:rPr>
        <w:t xml:space="preserve">Apollinaris. </w:t>
      </w:r>
      <w:r>
        <w:rPr>
          <w:color w:val="000000"/>
          <w:spacing w:val="0"/>
          <w:w w:val="100"/>
          <w:position w:val="0"/>
          <w:shd w:val="clear" w:color="auto" w:fill="auto"/>
          <w:lang w:val="en-US" w:eastAsia="en-US" w:bidi="en-US"/>
        </w:rPr>
        <w:t>Soon after 392 he became bishop of Mopsuestia in Cilicia (the modern Missis near Adana). As such he was held in great respect, and took part in several synods, with a reputa</w:t>
        <w:softHyphen/>
        <w:t>tion for orthodoxy that was never questioned. It was greatly to his advantage that in the Eastern Church the period between the years 390 and 428 was one of comparative repose. He was on friendly terms even with Cyril of Alexandria. He died in 428 or 429, just at the beginning of the Nestorian controversy.</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Theodore was a very prolific writer, but, before all, an exegete. He wrote commentaries on almost every book of the Old and New Testaments, of which, however, only a small proportion is now extant, as at a later period he lost credit in the church. We still possess in Greek his commentary on the Minor Prophets, in a Syriac version his commentary on St John,@@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in Latin translations, commentaries on the snorter Pauline epistles, besides very many fragments, especially on the epistle to the Romans. Theodore's importance as an exegete lies in two characteristics: (1) in opposi</w:t>
        <w:softHyphen/>
        <w:t>tion to the allegorical method he insists on getting at the literal meaning, and adheres to it when found; (2) in his interpretation of the Scriptures he takes into account the historical circumstances in which they were produced, and substitutes the historical-typo</w:t>
        <w:softHyphen/>
        <w:t>logical for the pneumatico-christological interpretation of prophecy; in other words, he interprets all Old Testament passages historically in the first instance, and sees the fulfilment of Old Testament prophecy in the history of Christ and His church only in so far as the entire Old Testament is a “ shadow of things to come.” Follow</w:t>
        <w:softHyphen/>
        <w:t>ing his master Diodorus, who had already written a treatise T</w:t>
      </w:r>
      <w:r>
        <w:rPr>
          <w:rFonts w:ascii="Times New Roman" w:eastAsia="Times New Roman" w:hAnsi="Times New Roman" w:cs="Times New Roman"/>
          <w:color w:val="000000"/>
          <w:spacing w:val="0"/>
          <w:w w:val="100"/>
          <w:position w:val="0"/>
          <w:shd w:val="clear" w:color="auto" w:fill="auto"/>
          <w:lang w:val="en-US" w:eastAsia="en-US" w:bidi="en-US"/>
        </w:rPr>
        <w:t>ί</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l-GR" w:eastAsia="el-GR" w:bidi="el-GR"/>
        </w:rPr>
        <w:t xml:space="preserve">διαφορά </w:t>
      </w:r>
      <w:r>
        <w:rPr>
          <w:rFonts w:ascii="Times New Roman" w:eastAsia="Times New Roman" w:hAnsi="Times New Roman" w:cs="Times New Roman"/>
          <w:i/>
          <w:iCs/>
          <w:color w:val="000000"/>
          <w:spacing w:val="0"/>
          <w:w w:val="100"/>
          <w:position w:val="0"/>
          <w:shd w:val="clear" w:color="auto" w:fill="auto"/>
          <w:lang w:val="en-US" w:eastAsia="en-US" w:bidi="en-US"/>
        </w:rPr>
        <w:t xml:space="preserve">θeωρlas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καί </w:t>
      </w:r>
      <w:r>
        <w:rPr>
          <w:rFonts w:ascii="Times New Roman" w:eastAsia="Times New Roman" w:hAnsi="Times New Roman" w:cs="Times New Roman"/>
          <w:i/>
          <w:iCs/>
          <w:color w:val="000000"/>
          <w:spacing w:val="0"/>
          <w:w w:val="100"/>
          <w:position w:val="0"/>
          <w:shd w:val="clear" w:color="auto" w:fill="auto"/>
          <w:lang w:val="en-US" w:eastAsia="en-US" w:bidi="en-US"/>
        </w:rPr>
        <w:t>dXKηyoρlas</w:t>
      </w:r>
      <w:r>
        <w:rPr>
          <w:rFonts w:ascii="Times New Roman" w:eastAsia="Times New Roman" w:hAnsi="Times New Roman" w:cs="Times New Roman"/>
          <w:color w:val="000000"/>
          <w:spacing w:val="0"/>
          <w:w w:val="100"/>
          <w:position w:val="0"/>
          <w:shd w:val="clear" w:color="auto" w:fill="auto"/>
          <w:lang w:val="en-US" w:eastAsia="en-US" w:bidi="en-US"/>
        </w:rPr>
        <w:t xml:space="preserve">, Theodore also was the author of a special dissertation against the allegorists,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against Origen and his followers, which, however, has unfortunately perished. The comparative freedom of Theodore’s view of inspiration is also note</w:t>
        <w:softHyphen/>
        <w:t>worthy. He discriminates between historical, prophetical and didactic writings, and in accordance with this distinction assumes varying degrees of inspiration. Finally, he entertained very bold opinions about the canon and several of the books included in it.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 P. B. Chabot (Paris, 1897).</w:t>
      </w:r>
    </w:p>
    <w:sectPr>
      <w:footnotePr>
        <w:pos w:val="pageBottom"/>
        <w:numFmt w:val="decimal"/>
        <w:numRestart w:val="continuous"/>
      </w:footnotePr>
      <w:pgSz w:w="12240" w:h="15840"/>
      <w:pgMar w:top="1115" w:left="1155" w:right="1032" w:bottom="8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