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venality of the Roman officials and the turbulence of the Gothic nobles were sternly repressed. Marshes were drained, harbours formed, the burden of the taxes lightened, and the state of agriculture so much improved that Italy, from a corn-import</w:t>
        <w:softHyphen/>
        <w:t xml:space="preserve">ing, became a corn-exporting country. Moreover Theodoric, though adhering to the Arian creed of his forefathers, was during the greater part of his reign so conspicuously impartial in religious matters that a legend which afterwards became current represented him as actually putting to death a Catholic deacon who had turned Arian in order to win his favour. At the time of the contested papal election between Symmachus and </w:t>
      </w:r>
      <w:r>
        <w:rPr>
          <w:color w:val="000000"/>
          <w:spacing w:val="0"/>
          <w:w w:val="100"/>
          <w:position w:val="0"/>
          <w:shd w:val="clear" w:color="auto" w:fill="auto"/>
          <w:lang w:val="de-DE" w:eastAsia="de-DE" w:bidi="de-DE"/>
        </w:rPr>
        <w:t xml:space="preserve">Laurentius </w:t>
      </w:r>
      <w:r>
        <w:rPr>
          <w:color w:val="000000"/>
          <w:spacing w:val="0"/>
          <w:w w:val="100"/>
          <w:position w:val="0"/>
          <w:shd w:val="clear" w:color="auto" w:fill="auto"/>
          <w:lang w:val="en-US" w:eastAsia="en-US" w:bidi="en-US"/>
        </w:rPr>
        <w:t>(496-502), Theodoric’s mediation was welcomed by both contending parties. Unfortunately, at the very close of his reign (524), the Emperor Justin’s persecution of the Arians led him into a policy of reprisals. He forced Pope John to undertake a mission to Constantinople to plead for toleration, and on his return threw him into prison, where he died. Above all, he sullied his fame by the execution of Boetius and Sym</w:t>
        <w:softHyphen/>
        <w:t xml:space="preserve">machus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Boetius).</w:t>
      </w:r>
      <w:r>
        <w:rPr>
          <w:color w:val="000000"/>
          <w:spacing w:val="0"/>
          <w:w w:val="100"/>
          <w:position w:val="0"/>
          <w:shd w:val="clear" w:color="auto" w:fill="auto"/>
          <w:lang w:val="en-US" w:eastAsia="en-US" w:bidi="en-US"/>
        </w:rPr>
        <w:t xml:space="preserve"> It should be observed, however, that the motive for these acts of violence was probably political rather than religious—jealousy of intrigues with the imperial court rather than zeal on behalf of the Arian confession. Theo</w:t>
        <w:softHyphen/>
        <w:t xml:space="preserve">doric’s death, which is said to have been hastened by remorse for the execution of Symmachus, occurred on the 30th of August 526. He was buried in the mausoleum which is still one of the marvels of Ravenna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color w:val="000000"/>
          <w:spacing w:val="0"/>
          <w:w w:val="100"/>
          <w:position w:val="0"/>
          <w:shd w:val="clear" w:color="auto" w:fill="auto"/>
          <w:lang w:val="en-US" w:eastAsia="en-US" w:bidi="en-US"/>
        </w:rPr>
        <w:t xml:space="preserve"> and his grandson Athalaric, a boy of ten years, succeeded him, under the regency of his mother Amalasuntha.</w:t>
      </w:r>
    </w:p>
    <w:p>
      <w:pPr>
        <w:pStyle w:val="Style7"/>
        <w:keepNext w:val="0"/>
        <w:keepLines w:val="0"/>
        <w:widowControl w:val="0"/>
        <w:shd w:val="clear" w:color="auto" w:fill="auto"/>
        <w:bidi w:val="0"/>
        <w:spacing w:line="197"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authorities for the life of Theodoric are very imperfect. Jordanes, Procopius, and the curious fragment known as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Anonymus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Valesii (printed at the end of Ammianus Marcellinus) are the chief direct sources of narrative, but far the most important indirect source is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Variae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(state-papers) of Cassiodorus, chief minister of Theodoric. Malchus furnishes. some interesting par</w:t>
        <w:softHyphen/>
        <w:t xml:space="preserve">ticulars as to his early life, and it is possible to extract a little information from the turgid panegyric of Ennodius. Among German scholars F. Dahn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(Könige der Germanen,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ii., iii. and iv.), J.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K. F.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Manso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(Geschichte des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Ostgothischen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Reichs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Italien,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1824), and Sartorius (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Versuch über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Regierung der Ostgothen,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&amp;c.)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have done most to illustrate Theodoric’s principles of government. The English reader may consult Gibbon's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Decline and Fall,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chap. xxxix., and Hodgkin's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Italy and her Invaders,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vol. iii. (1885), his intro</w:t>
        <w:softHyphen/>
        <w:t xml:space="preserve">duction to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Letters of Cassiodorus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(1886)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Theodoric the Goth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(London and New York, 1891). For the legends connected with the name of Theodoric see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Dietrich of Bern.</w:t>
      </w:r>
    </w:p>
    <w:p>
      <w:pPr>
        <w:pStyle w:val="Style7"/>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 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THEODORUS, FLAVIUS MALLIUS, </w:t>
      </w:r>
      <w:r>
        <w:rPr>
          <w:color w:val="000000"/>
          <w:spacing w:val="0"/>
          <w:w w:val="100"/>
          <w:position w:val="0"/>
          <w:shd w:val="clear" w:color="auto" w:fill="auto"/>
          <w:lang w:val="en-US" w:eastAsia="en-US" w:bidi="en-US"/>
        </w:rPr>
        <w:t xml:space="preserve">Roman consul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color w:val="000000"/>
          <w:spacing w:val="0"/>
          <w:w w:val="100"/>
          <w:position w:val="0"/>
          <w:shd w:val="clear" w:color="auto" w:fill="auto"/>
          <w:lang w:val="en-US" w:eastAsia="en-US" w:bidi="en-US"/>
        </w:rPr>
        <w:t xml:space="preserve"> 399, author of an extant treatise on metres, one of the best of its kind (H. Keil,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Grammatici Latini,</w:t>
      </w:r>
      <w:r>
        <w:rPr>
          <w:color w:val="000000"/>
          <w:spacing w:val="0"/>
          <w:w w:val="100"/>
          <w:position w:val="0"/>
          <w:shd w:val="clear" w:color="auto" w:fill="auto"/>
          <w:lang w:val="en-US" w:eastAsia="en-US" w:bidi="en-US"/>
        </w:rPr>
        <w:t xml:space="preserve"> vi.). He also studied philo</w:t>
        <w:softHyphen/>
        <w:t>sophy, astronomy and geometry, and wrote works on those subjects, which, together with his consulship, formed the sub</w:t>
        <w:softHyphen/>
        <w:t>ject of a panegyric by Claudian.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THEODORUS STÜDÏTA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color w:val="000000"/>
          <w:spacing w:val="0"/>
          <w:w w:val="100"/>
          <w:position w:val="0"/>
          <w:shd w:val="clear" w:color="auto" w:fill="auto"/>
          <w:lang w:val="en-US" w:eastAsia="en-US" w:bidi="en-US"/>
        </w:rPr>
        <w:t xml:space="preserve"> 759-826), Greek theological writer, abbot of the monastery of </w:t>
      </w:r>
      <w:r>
        <w:rPr>
          <w:color w:val="000000"/>
          <w:spacing w:val="0"/>
          <w:w w:val="100"/>
          <w:position w:val="0"/>
          <w:shd w:val="clear" w:color="auto" w:fill="auto"/>
          <w:lang w:val="de-DE" w:eastAsia="de-DE" w:bidi="de-DE"/>
        </w:rPr>
        <w:t xml:space="preserve">Studium, </w:t>
      </w:r>
      <w:r>
        <w:rPr>
          <w:color w:val="000000"/>
          <w:spacing w:val="0"/>
          <w:w w:val="100"/>
          <w:position w:val="0"/>
          <w:shd w:val="clear" w:color="auto" w:fill="auto"/>
          <w:lang w:val="en-US" w:eastAsia="en-US" w:bidi="en-US"/>
        </w:rPr>
        <w:t>was born at Con</w:t>
        <w:softHyphen/>
        <w:t>stantinople. In 794 he succeeded his uncle Plato, who had persuaded him to become a monk some ten years before, as head of the monastery of Saccudium in Bithynia. Soon after</w:t>
        <w:softHyphen/>
        <w:t>wards he was banished to Thessalonica for having excommuni</w:t>
        <w:softHyphen/>
        <w:t xml:space="preserve">cated Constantine VI., who had divorced his wife Maria in order </w:t>
      </w:r>
      <w:r>
        <w:rPr>
          <w:color w:val="000000"/>
          <w:spacing w:val="0"/>
          <w:w w:val="100"/>
          <w:position w:val="0"/>
          <w:shd w:val="clear" w:color="auto" w:fill="auto"/>
          <w:lang w:val="en-US" w:eastAsia="en-US" w:bidi="en-US"/>
        </w:rPr>
        <w:t>to marry Theodot</w:t>
      </w:r>
      <w:r>
        <w:rPr>
          <w:rFonts w:ascii="Times New Roman" w:eastAsia="Times New Roman" w:hAnsi="Times New Roman" w:cs="Times New Roman"/>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 xml:space="preserve">. After the emperor’s death in 797 he was recalled with every mark of favour, and removed with his monks to the monastery of </w:t>
      </w:r>
      <w:r>
        <w:rPr>
          <w:color w:val="000000"/>
          <w:spacing w:val="0"/>
          <w:w w:val="100"/>
          <w:position w:val="0"/>
          <w:shd w:val="clear" w:color="auto" w:fill="auto"/>
          <w:lang w:val="de-DE" w:eastAsia="de-DE" w:bidi="de-DE"/>
        </w:rPr>
        <w:t xml:space="preserve">Studium </w:t>
      </w:r>
      <w:r>
        <w:rPr>
          <w:color w:val="000000"/>
          <w:spacing w:val="0"/>
          <w:w w:val="100"/>
          <w:position w:val="0"/>
          <w:shd w:val="clear" w:color="auto" w:fill="auto"/>
          <w:lang w:val="en-US" w:eastAsia="en-US" w:bidi="en-US"/>
        </w:rPr>
        <w:t>in Constantinople, where he carried on a vigorous campaign in favour of asceticism and monastic reform. In 809 he was again banished in consequence of his refusal to hold communion with the patriarch Nicephorus, who had pardoned the priest Joseph for his part in the marriage of Constantine and Theodotë. In 811 he was recalled by Michael Rhangabes, and again banished in 814 for his resistance to the edict of Leo the Armenian, which forbade the worship of images. Liberated in 821 by the Emperor Michael the Stam</w:t>
        <w:softHyphen/>
        <w:t>merer (Balbus), he soon got into trouble again. In 824 he violently attacked Michael for showing too great leniency towards the iconoclasts and even favoured an insurrection against him. When the attempt failed, Theodoras found it prudent to leave Constantinople. He lived at various monas</w:t>
        <w:softHyphen/>
        <w:t xml:space="preserve">teries in Bithynia, on Chalcitis (one of the Princes’ Islands) and on the peninsula of Tryphon, near the promontory of Acrita, where he died on the nth of November 826. He was buried at Chalcitis, but his body was afterwards (26th of January 844) removed to </w:t>
      </w:r>
      <w:r>
        <w:rPr>
          <w:color w:val="000000"/>
          <w:spacing w:val="0"/>
          <w:w w:val="100"/>
          <w:position w:val="0"/>
          <w:shd w:val="clear" w:color="auto" w:fill="auto"/>
          <w:lang w:val="de-DE" w:eastAsia="de-DE" w:bidi="de-DE"/>
        </w:rPr>
        <w:t xml:space="preserve">Studium. </w:t>
      </w:r>
      <w:r>
        <w:rPr>
          <w:color w:val="000000"/>
          <w:spacing w:val="0"/>
          <w:w w:val="100"/>
          <w:position w:val="0"/>
          <w:shd w:val="clear" w:color="auto" w:fill="auto"/>
          <w:lang w:val="en-US" w:eastAsia="en-US" w:bidi="en-US"/>
        </w:rPr>
        <w:t>He subsequently re</w:t>
        <w:softHyphen/>
        <w:t>ceived the honours of canonization. Of his extant works the following are the most important:—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Letters,</w:t>
      </w:r>
      <w:r>
        <w:rPr>
          <w:color w:val="000000"/>
          <w:spacing w:val="0"/>
          <w:w w:val="100"/>
          <w:position w:val="0"/>
          <w:shd w:val="clear" w:color="auto" w:fill="auto"/>
          <w:lang w:val="en-US" w:eastAsia="en-US" w:bidi="en-US"/>
        </w:rPr>
        <w:t xml:space="preserve"> which are of con</w:t>
        <w:softHyphen/>
        <w:t>siderable value as giving an insight into the life and character of the writer, and throwing light upon the ecclesiastical dis</w:t>
        <w:softHyphen/>
        <w:t xml:space="preserve">putes in which he was involved;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Catecheses</w:t>
      </w:r>
      <w:r>
        <w:rPr>
          <w:color w:val="000000"/>
          <w:spacing w:val="0"/>
          <w:w w:val="100"/>
          <w:position w:val="0"/>
          <w:shd w:val="clear" w:color="auto" w:fill="auto"/>
          <w:lang w:val="en-US" w:eastAsia="en-US" w:bidi="en-US"/>
        </w:rPr>
        <w:t xml:space="preserve"> (divided into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Magna</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Parva), two</w:t>
      </w:r>
      <w:r>
        <w:rPr>
          <w:color w:val="000000"/>
          <w:spacing w:val="0"/>
          <w:w w:val="100"/>
          <w:position w:val="0"/>
          <w:shd w:val="clear" w:color="auto" w:fill="auto"/>
          <w:lang w:val="en-US" w:eastAsia="en-US" w:bidi="en-US"/>
        </w:rPr>
        <w:t xml:space="preserve"> collections of addresses to his monks on various subjects connected with the spiritual life; funeral orations on his mother and his uncle Plato; various polemical discourses connected with the question of image-worship. He was also the author of epigrams on various subjects, which show considerable originality, and of some church hymns. Like all the monks of </w:t>
      </w:r>
      <w:r>
        <w:rPr>
          <w:color w:val="000000"/>
          <w:spacing w:val="0"/>
          <w:w w:val="100"/>
          <w:position w:val="0"/>
          <w:shd w:val="clear" w:color="auto" w:fill="auto"/>
          <w:lang w:val="de-DE" w:eastAsia="de-DE" w:bidi="de-DE"/>
        </w:rPr>
        <w:t xml:space="preserve">Studium, </w:t>
      </w:r>
      <w:r>
        <w:rPr>
          <w:color w:val="000000"/>
          <w:spacing w:val="0"/>
          <w:w w:val="100"/>
          <w:position w:val="0"/>
          <w:shd w:val="clear" w:color="auto" w:fill="auto"/>
          <w:lang w:val="en-US" w:eastAsia="en-US" w:bidi="en-US"/>
        </w:rPr>
        <w:t>Theodore was famous for his calligraphy and industry in copying MSS.</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—General edition of his works in J. P. Migne, </w:t>
      </w:r>
      <w:r>
        <w:rPr>
          <w:rFonts w:ascii="Times New Roman" w:eastAsia="Times New Roman" w:hAnsi="Times New Roman" w:cs="Times New Roman"/>
          <w:i/>
          <w:iCs/>
          <w:color w:val="000000"/>
          <w:spacing w:val="0"/>
          <w:w w:val="100"/>
          <w:position w:val="0"/>
          <w:shd w:val="clear" w:color="auto" w:fill="auto"/>
          <w:lang w:val="en-US" w:eastAsia="en-US" w:bidi="en-US"/>
        </w:rPr>
        <w:t>Patrologia Graeco,</w:t>
      </w:r>
      <w:r>
        <w:rPr>
          <w:rFonts w:ascii="Times New Roman" w:eastAsia="Times New Roman" w:hAnsi="Times New Roman" w:cs="Times New Roman"/>
          <w:color w:val="000000"/>
          <w:spacing w:val="0"/>
          <w:w w:val="100"/>
          <w:position w:val="0"/>
          <w:shd w:val="clear" w:color="auto" w:fill="auto"/>
          <w:lang w:val="en-US" w:eastAsia="en-US" w:bidi="en-US"/>
        </w:rPr>
        <w:t xml:space="preserve"> xcix., to be supplemented (for the </w:t>
      </w:r>
      <w:r>
        <w:rPr>
          <w:rFonts w:ascii="Times New Roman" w:eastAsia="Times New Roman" w:hAnsi="Times New Roman" w:cs="Times New Roman"/>
          <w:i/>
          <w:iCs/>
          <w:color w:val="000000"/>
          <w:spacing w:val="0"/>
          <w:w w:val="100"/>
          <w:position w:val="0"/>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by A. Mai's </w:t>
      </w:r>
      <w:r>
        <w:rPr>
          <w:rFonts w:ascii="Times New Roman" w:eastAsia="Times New Roman" w:hAnsi="Times New Roman" w:cs="Times New Roman"/>
          <w:i/>
          <w:iCs/>
          <w:color w:val="000000"/>
          <w:spacing w:val="0"/>
          <w:w w:val="100"/>
          <w:position w:val="0"/>
          <w:shd w:val="clear" w:color="auto" w:fill="auto"/>
          <w:lang w:val="en-US" w:eastAsia="en-US" w:bidi="en-US"/>
        </w:rPr>
        <w:t>Patrum Nova Bibliotheca,</w:t>
      </w:r>
      <w:r>
        <w:rPr>
          <w:rFonts w:ascii="Times New Roman" w:eastAsia="Times New Roman" w:hAnsi="Times New Roman" w:cs="Times New Roman"/>
          <w:color w:val="000000"/>
          <w:spacing w:val="0"/>
          <w:w w:val="100"/>
          <w:position w:val="0"/>
          <w:shd w:val="clear" w:color="auto" w:fill="auto"/>
          <w:lang w:val="en-US" w:eastAsia="en-US" w:bidi="en-US"/>
        </w:rPr>
        <w:t xml:space="preserve"> viii. (1871) and (for the </w:t>
      </w:r>
      <w:r>
        <w:rPr>
          <w:rFonts w:ascii="Times New Roman" w:eastAsia="Times New Roman" w:hAnsi="Times New Roman" w:cs="Times New Roman"/>
          <w:i/>
          <w:iCs/>
          <w:color w:val="000000"/>
          <w:spacing w:val="0"/>
          <w:w w:val="100"/>
          <w:position w:val="0"/>
          <w:shd w:val="clear" w:color="auto" w:fill="auto"/>
          <w:lang w:val="en-US" w:eastAsia="en-US" w:bidi="en-US"/>
        </w:rPr>
        <w:t>Cate</w:t>
        <w:softHyphen/>
        <w:t>cheses)</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ix. (1888), which contains the Greek text of the </w:t>
      </w:r>
      <w:r>
        <w:rPr>
          <w:rFonts w:ascii="Times New Roman" w:eastAsia="Times New Roman" w:hAnsi="Times New Roman" w:cs="Times New Roman"/>
          <w:i/>
          <w:iCs/>
          <w:color w:val="000000"/>
          <w:spacing w:val="0"/>
          <w:w w:val="100"/>
          <w:position w:val="0"/>
          <w:shd w:val="clear" w:color="auto" w:fill="auto"/>
          <w:lang w:val="de-DE" w:eastAsia="de-DE" w:bidi="de-DE"/>
        </w:rPr>
        <w:t>Parva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(also ed. separately by E. Auvray, 1891); hymns in J B. Pitra, </w:t>
      </w:r>
      <w:r>
        <w:rPr>
          <w:rFonts w:ascii="Times New Roman" w:eastAsia="Times New Roman" w:hAnsi="Times New Roman" w:cs="Times New Roman"/>
          <w:i/>
          <w:iCs/>
          <w:color w:val="000000"/>
          <w:spacing w:val="0"/>
          <w:w w:val="100"/>
          <w:position w:val="0"/>
          <w:shd w:val="clear" w:color="auto" w:fill="auto"/>
          <w:lang w:val="en-US" w:eastAsia="en-US" w:bidi="en-US"/>
        </w:rPr>
        <w:t>Analecta Sacra,</w:t>
      </w:r>
      <w:r>
        <w:rPr>
          <w:rFonts w:ascii="Times New Roman" w:eastAsia="Times New Roman" w:hAnsi="Times New Roman" w:cs="Times New Roman"/>
          <w:color w:val="000000"/>
          <w:spacing w:val="0"/>
          <w:w w:val="100"/>
          <w:position w:val="0"/>
          <w:shd w:val="clear" w:color="auto" w:fill="auto"/>
          <w:lang w:val="en-US" w:eastAsia="en-US" w:bidi="en-US"/>
        </w:rPr>
        <w:t xml:space="preserve"> i. (1876). See also Alice Gardner,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Theodore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Studium: </w:t>
      </w:r>
      <w:r>
        <w:rPr>
          <w:rFonts w:ascii="Times New Roman" w:eastAsia="Times New Roman" w:hAnsi="Times New Roman" w:cs="Times New Roman"/>
          <w:i/>
          <w:iCs/>
          <w:color w:val="000000"/>
          <w:spacing w:val="0"/>
          <w:w w:val="100"/>
          <w:position w:val="0"/>
          <w:shd w:val="clear" w:color="auto" w:fill="auto"/>
          <w:lang w:val="en-US" w:eastAsia="en-US" w:bidi="en-US"/>
        </w:rPr>
        <w:t>his Life and Times</w:t>
      </w:r>
      <w:r>
        <w:rPr>
          <w:rFonts w:ascii="Times New Roman" w:eastAsia="Times New Roman" w:hAnsi="Times New Roman" w:cs="Times New Roman"/>
          <w:color w:val="000000"/>
          <w:spacing w:val="0"/>
          <w:w w:val="100"/>
          <w:position w:val="0"/>
          <w:shd w:val="clear" w:color="auto" w:fill="auto"/>
          <w:lang w:val="en-US" w:eastAsia="en-US" w:bidi="en-US"/>
        </w:rPr>
        <w:t xml:space="preserve"> (1905), containing specimens of English translation and an account of his published works; C. Thomas,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Theodor von Studion </w:t>
      </w:r>
      <w:r>
        <w:rPr>
          <w:rFonts w:ascii="Times New Roman" w:eastAsia="Times New Roman" w:hAnsi="Times New Roman" w:cs="Times New Roman"/>
          <w:i/>
          <w:iCs/>
          <w:color w:val="000000"/>
          <w:spacing w:val="0"/>
          <w:w w:val="100"/>
          <w:position w:val="0"/>
          <w:shd w:val="clear" w:color="auto" w:fill="auto"/>
          <w:lang w:val="de-DE" w:eastAsia="de-DE" w:bidi="de-DE"/>
        </w:rPr>
        <w:t>und sein Zeitalter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(1892); </w:t>
      </w:r>
      <w:r>
        <w:rPr>
          <w:rFonts w:ascii="Times New Roman" w:eastAsia="Times New Roman" w:hAnsi="Times New Roman" w:cs="Times New Roman"/>
          <w:color w:val="000000"/>
          <w:spacing w:val="0"/>
          <w:w w:val="100"/>
          <w:position w:val="0"/>
          <w:shd w:val="clear" w:color="auto" w:fill="auto"/>
          <w:lang w:val="fr-FR" w:eastAsia="fr-FR" w:bidi="fr-FR"/>
        </w:rPr>
        <w:t xml:space="preserve">G. A. Schneider,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Theodor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von </w:t>
      </w:r>
      <w:r>
        <w:rPr>
          <w:rFonts w:ascii="Times New Roman" w:eastAsia="Times New Roman" w:hAnsi="Times New Roman" w:cs="Times New Roman"/>
          <w:i/>
          <w:iCs/>
          <w:color w:val="000000"/>
          <w:spacing w:val="0"/>
          <w:w w:val="100"/>
          <w:position w:val="0"/>
          <w:shd w:val="clear" w:color="auto" w:fill="auto"/>
          <w:lang w:val="en-US" w:eastAsia="en-US" w:bidi="en-US"/>
        </w:rPr>
        <w:t>Studion,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 </w:t>
      </w:r>
      <w:r>
        <w:rPr>
          <w:rFonts w:ascii="Times New Roman" w:eastAsia="Times New Roman" w:hAnsi="Times New Roman" w:cs="Times New Roman"/>
          <w:color w:val="000000"/>
          <w:spacing w:val="0"/>
          <w:w w:val="100"/>
          <w:position w:val="0"/>
          <w:shd w:val="clear" w:color="auto" w:fill="auto"/>
          <w:lang w:val="de-DE" w:eastAsia="de-DE" w:bidi="de-DE"/>
        </w:rPr>
        <w:t xml:space="preserve">Kirchengeschichtliche Studien,” </w:t>
      </w:r>
      <w:r>
        <w:rPr>
          <w:rFonts w:ascii="Times New Roman" w:eastAsia="Times New Roman" w:hAnsi="Times New Roman" w:cs="Times New Roman"/>
          <w:color w:val="000000"/>
          <w:spacing w:val="0"/>
          <w:w w:val="100"/>
          <w:position w:val="0"/>
          <w:shd w:val="clear" w:color="auto" w:fill="auto"/>
          <w:lang w:val="fr-FR" w:eastAsia="fr-FR" w:bidi="fr-FR"/>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de-DE" w:eastAsia="de-DE" w:bidi="de-DE"/>
        </w:rPr>
        <w:t xml:space="preserve">(Münster, </w:t>
      </w:r>
      <w:r>
        <w:rPr>
          <w:rFonts w:ascii="Times New Roman" w:eastAsia="Times New Roman" w:hAnsi="Times New Roman" w:cs="Times New Roman"/>
          <w:color w:val="000000"/>
          <w:spacing w:val="0"/>
          <w:w w:val="100"/>
          <w:position w:val="0"/>
          <w:shd w:val="clear" w:color="auto" w:fill="auto"/>
          <w:lang w:val="fr-FR" w:eastAsia="fr-FR" w:bidi="fr-FR"/>
        </w:rPr>
        <w:t xml:space="preserve">1900); S. Schiwietz,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Sancto Theodoro Studita </w:t>
      </w:r>
      <w:r>
        <w:rPr>
          <w:rFonts w:ascii="Times New Roman" w:eastAsia="Times New Roman" w:hAnsi="Times New Roman" w:cs="Times New Roman"/>
          <w:color w:val="000000"/>
          <w:spacing w:val="0"/>
          <w:w w:val="100"/>
          <w:position w:val="0"/>
          <w:shd w:val="clear" w:color="auto" w:fill="auto"/>
          <w:lang w:val="de-DE" w:eastAsia="de-DE" w:bidi="de-DE"/>
        </w:rPr>
        <w:t xml:space="preserve">(Breslau, </w:t>
      </w:r>
      <w:r>
        <w:rPr>
          <w:rFonts w:ascii="Times New Roman" w:eastAsia="Times New Roman" w:hAnsi="Times New Roman" w:cs="Times New Roman"/>
          <w:color w:val="000000"/>
          <w:spacing w:val="0"/>
          <w:w w:val="100"/>
          <w:position w:val="0"/>
          <w:shd w:val="clear" w:color="auto" w:fill="auto"/>
          <w:lang w:val="fr-FR" w:eastAsia="fr-FR" w:bidi="fr-FR"/>
        </w:rPr>
        <w:t xml:space="preserve">1896); E. Marin,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Studio coenobio Constantinopolilano </w:t>
      </w:r>
      <w:r>
        <w:rPr>
          <w:rFonts w:ascii="Times New Roman" w:eastAsia="Times New Roman" w:hAnsi="Times New Roman" w:cs="Times New Roman"/>
          <w:color w:val="000000"/>
          <w:spacing w:val="0"/>
          <w:w w:val="100"/>
          <w:position w:val="0"/>
          <w:shd w:val="clear" w:color="auto" w:fill="auto"/>
          <w:lang w:val="fr-FR" w:eastAsia="fr-FR" w:bidi="fr-FR"/>
        </w:rPr>
        <w:t xml:space="preserve">0897); C. </w:t>
      </w:r>
      <w:r>
        <w:rPr>
          <w:rFonts w:ascii="Times New Roman" w:eastAsia="Times New Roman" w:hAnsi="Times New Roman" w:cs="Times New Roman"/>
          <w:color w:val="000000"/>
          <w:spacing w:val="0"/>
          <w:w w:val="100"/>
          <w:position w:val="0"/>
          <w:shd w:val="clear" w:color="auto" w:fill="auto"/>
          <w:lang w:val="de-DE" w:eastAsia="de-DE" w:bidi="de-DE"/>
        </w:rPr>
        <w:t xml:space="preserve">Schwarzlose, </w:t>
      </w:r>
      <w:r>
        <w:rPr>
          <w:rFonts w:ascii="Times New Roman" w:eastAsia="Times New Roman" w:hAnsi="Times New Roman" w:cs="Times New Roman"/>
          <w:i/>
          <w:iCs/>
          <w:color w:val="000000"/>
          <w:spacing w:val="0"/>
          <w:w w:val="100"/>
          <w:position w:val="0"/>
          <w:shd w:val="clear" w:color="auto" w:fill="auto"/>
          <w:lang w:val="de-DE" w:eastAsia="de-DE" w:bidi="de-DE"/>
        </w:rPr>
        <w:t>Der Bilderstreit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(1890); A. Tougard, </w:t>
      </w:r>
      <w:r>
        <w:rPr>
          <w:rFonts w:ascii="Times New Roman" w:eastAsia="Times New Roman" w:hAnsi="Times New Roman" w:cs="Times New Roman"/>
          <w:i/>
          <w:iCs/>
          <w:color w:val="000000"/>
          <w:spacing w:val="0"/>
          <w:w w:val="100"/>
          <w:position w:val="0"/>
          <w:shd w:val="clear" w:color="auto" w:fill="auto"/>
          <w:lang w:val="fr-FR" w:eastAsia="fr-FR" w:bidi="fr-FR"/>
        </w:rPr>
        <w:t>La Persécution iconoclaste d’après la correspondance de saint Théodore Studite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(1891). Some of the hymns have been translated by J. Μ. Neale in his </w:t>
      </w:r>
      <w:r>
        <w:rPr>
          <w:rFonts w:ascii="Times New Roman" w:eastAsia="Times New Roman" w:hAnsi="Times New Roman" w:cs="Times New Roman"/>
          <w:i/>
          <w:iCs/>
          <w:color w:val="000000"/>
          <w:spacing w:val="0"/>
          <w:w w:val="100"/>
          <w:position w:val="0"/>
          <w:shd w:val="clear" w:color="auto" w:fill="auto"/>
          <w:lang w:val="en-US" w:eastAsia="en-US" w:bidi="en-US"/>
        </w:rPr>
        <w:t>Hymns of the Eastern Church.</w:t>
      </w:r>
      <w:r>
        <w:rPr>
          <w:rFonts w:ascii="Times New Roman" w:eastAsia="Times New Roman" w:hAnsi="Times New Roman" w:cs="Times New Roman"/>
          <w:color w:val="000000"/>
          <w:spacing w:val="0"/>
          <w:w w:val="100"/>
          <w:position w:val="0"/>
          <w:shd w:val="clear" w:color="auto" w:fill="auto"/>
          <w:lang w:val="en-US" w:eastAsia="en-US" w:bidi="en-US"/>
        </w:rPr>
        <w:t xml:space="preserve"> For further bibliographical details see C. </w:t>
      </w:r>
      <w:r>
        <w:rPr>
          <w:rFonts w:ascii="Times New Roman" w:eastAsia="Times New Roman" w:hAnsi="Times New Roman" w:cs="Times New Roman"/>
          <w:color w:val="000000"/>
          <w:spacing w:val="0"/>
          <w:w w:val="100"/>
          <w:position w:val="0"/>
          <w:shd w:val="clear" w:color="auto" w:fill="auto"/>
          <w:lang w:val="de-DE" w:eastAsia="de-DE" w:bidi="de-DE"/>
        </w:rPr>
        <w:t xml:space="preserve">Krumbacher,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byz. </w:t>
      </w:r>
      <w:r>
        <w:rPr>
          <w:rFonts w:ascii="Times New Roman" w:eastAsia="Times New Roman" w:hAnsi="Times New Roman" w:cs="Times New Roman"/>
          <w:i/>
          <w:iCs/>
          <w:color w:val="000000"/>
          <w:spacing w:val="0"/>
          <w:w w:val="100"/>
          <w:position w:val="0"/>
          <w:shd w:val="clear" w:color="auto" w:fill="auto"/>
          <w:lang w:val="de-DE" w:eastAsia="de-DE" w:bidi="de-DE"/>
        </w:rPr>
        <w:t xml:space="preserve">Litt. </w:t>
      </w:r>
      <w:r>
        <w:rPr>
          <w:rFonts w:ascii="Times New Roman" w:eastAsia="Times New Roman" w:hAnsi="Times New Roman" w:cs="Times New Roman"/>
          <w:color w:val="000000"/>
          <w:spacing w:val="0"/>
          <w:w w:val="100"/>
          <w:position w:val="0"/>
          <w:shd w:val="clear" w:color="auto" w:fill="auto"/>
          <w:lang w:val="en-US" w:eastAsia="en-US" w:bidi="en-US"/>
        </w:rPr>
        <w:t xml:space="preserve">(2nd ed., 1897) and article by Von Dobschütz.in Herzog-Hauck’s </w:t>
      </w:r>
      <w:r>
        <w:rPr>
          <w:rFonts w:ascii="Times New Roman" w:eastAsia="Times New Roman" w:hAnsi="Times New Roman" w:cs="Times New Roman"/>
          <w:i/>
          <w:iCs/>
          <w:color w:val="000000"/>
          <w:spacing w:val="0"/>
          <w:w w:val="100"/>
          <w:position w:val="0"/>
          <w:shd w:val="clear" w:color="auto" w:fill="auto"/>
          <w:lang w:val="de-DE" w:eastAsia="de-DE" w:bidi="de-DE"/>
        </w:rPr>
        <w:t>Realencyclopädie für protestantische Theologie,</w:t>
      </w:r>
      <w:r>
        <w:rPr>
          <w:rFonts w:ascii="Times New Roman" w:eastAsia="Times New Roman" w:hAnsi="Times New Roman" w:cs="Times New Roman"/>
          <w:color w:val="000000"/>
          <w:spacing w:val="0"/>
          <w:w w:val="100"/>
          <w:position w:val="0"/>
          <w:shd w:val="clear" w:color="auto" w:fill="auto"/>
          <w:lang w:val="de-DE" w:eastAsia="de-DE" w:bidi="de-DE"/>
        </w:rPr>
        <w:t xml:space="preserve"> xix. </w:t>
      </w:r>
      <w:r>
        <w:rPr>
          <w:rFonts w:ascii="Times New Roman" w:eastAsia="Times New Roman" w:hAnsi="Times New Roman" w:cs="Times New Roman"/>
          <w:color w:val="000000"/>
          <w:spacing w:val="0"/>
          <w:w w:val="100"/>
          <w:position w:val="0"/>
          <w:shd w:val="clear" w:color="auto" w:fill="auto"/>
          <w:lang w:val="en-US" w:eastAsia="en-US" w:bidi="en-US"/>
        </w:rPr>
        <w:t xml:space="preserve">(1907). On his relation to Theophanes Confessor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see J. Pargoire, “Saint </w:t>
      </w:r>
      <w:r>
        <w:rPr>
          <w:rFonts w:ascii="Times New Roman" w:eastAsia="Times New Roman" w:hAnsi="Times New Roman" w:cs="Times New Roman"/>
          <w:color w:val="000000"/>
          <w:spacing w:val="0"/>
          <w:w w:val="100"/>
          <w:position w:val="0"/>
          <w:shd w:val="clear" w:color="auto" w:fill="auto"/>
          <w:lang w:val="fr-FR" w:eastAsia="fr-FR" w:bidi="fr-FR"/>
        </w:rPr>
        <w:t xml:space="preserve">Théophane le </w:t>
      </w:r>
      <w:r>
        <w:rPr>
          <w:rFonts w:ascii="Times New Roman" w:eastAsia="Times New Roman" w:hAnsi="Times New Roman" w:cs="Times New Roman"/>
          <w:color w:val="000000"/>
          <w:spacing w:val="0"/>
          <w:w w:val="100"/>
          <w:position w:val="0"/>
          <w:shd w:val="clear" w:color="auto" w:fill="auto"/>
          <w:lang w:val="en-US" w:eastAsia="en-US" w:bidi="en-US"/>
        </w:rPr>
        <w:t xml:space="preserve">Chronographe </w:t>
      </w:r>
      <w:r>
        <w:rPr>
          <w:rFonts w:ascii="Times New Roman" w:eastAsia="Times New Roman" w:hAnsi="Times New Roman" w:cs="Times New Roman"/>
          <w:color w:val="000000"/>
          <w:spacing w:val="0"/>
          <w:w w:val="100"/>
          <w:position w:val="0"/>
          <w:shd w:val="clear" w:color="auto" w:fill="auto"/>
          <w:lang w:val="fr-FR" w:eastAsia="fr-FR" w:bidi="fr-FR"/>
        </w:rPr>
        <w:t xml:space="preserve">et ses </w:t>
      </w:r>
      <w:r>
        <w:rPr>
          <w:rFonts w:ascii="Times New Roman" w:eastAsia="Times New Roman" w:hAnsi="Times New Roman" w:cs="Times New Roman"/>
          <w:color w:val="000000"/>
          <w:spacing w:val="0"/>
          <w:w w:val="100"/>
          <w:position w:val="0"/>
          <w:shd w:val="clear" w:color="auto" w:fill="auto"/>
          <w:lang w:val="en-US" w:eastAsia="en-US" w:bidi="en-US"/>
        </w:rPr>
        <w:t xml:space="preserve">rapports </w:t>
      </w:r>
      <w:r>
        <w:rPr>
          <w:rFonts w:ascii="Times New Roman" w:eastAsia="Times New Roman" w:hAnsi="Times New Roman" w:cs="Times New Roman"/>
          <w:color w:val="000000"/>
          <w:spacing w:val="0"/>
          <w:w w:val="100"/>
          <w:position w:val="0"/>
          <w:shd w:val="clear" w:color="auto" w:fill="auto"/>
          <w:lang w:val="fr-FR" w:eastAsia="fr-FR" w:bidi="fr-FR"/>
        </w:rPr>
        <w:t xml:space="preserve">avec </w:t>
      </w:r>
      <w:r>
        <w:rPr>
          <w:rFonts w:ascii="Times New Roman" w:eastAsia="Times New Roman" w:hAnsi="Times New Roman" w:cs="Times New Roman"/>
          <w:color w:val="000000"/>
          <w:spacing w:val="0"/>
          <w:w w:val="100"/>
          <w:position w:val="0"/>
          <w:shd w:val="clear" w:color="auto" w:fill="auto"/>
          <w:lang w:val="de-DE" w:eastAsia="de-DE" w:bidi="de-DE"/>
        </w:rPr>
        <w:t xml:space="preserve">samt </w:t>
      </w:r>
      <w:r>
        <w:rPr>
          <w:rFonts w:ascii="Times New Roman" w:eastAsia="Times New Roman" w:hAnsi="Times New Roman" w:cs="Times New Roman"/>
          <w:color w:val="000000"/>
          <w:spacing w:val="0"/>
          <w:w w:val="100"/>
          <w:position w:val="0"/>
          <w:shd w:val="clear" w:color="auto" w:fill="auto"/>
          <w:lang w:val="en-US" w:eastAsia="en-US" w:bidi="en-US"/>
        </w:rPr>
        <w:t xml:space="preserve">Théodore Studite ” in </w:t>
      </w:r>
      <w:r>
        <w:rPr>
          <w:rFonts w:ascii="Times New Roman" w:eastAsia="Times New Roman" w:hAnsi="Times New Roman" w:cs="Times New Roman"/>
          <w:i/>
          <w:iCs/>
          <w:color w:val="000000"/>
          <w:spacing w:val="0"/>
          <w:w w:val="100"/>
          <w:position w:val="0"/>
          <w:shd w:val="clear" w:color="auto" w:fill="auto"/>
          <w:lang w:val="el-GR" w:eastAsia="el-GR" w:bidi="el-GR"/>
        </w:rPr>
        <w:t>Βυζαντινά Χρονικά,</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ix. (St Petersburg, 1902).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THEODOSIA, </w:t>
      </w:r>
      <w:r>
        <w:rPr>
          <w:color w:val="000000"/>
          <w:spacing w:val="0"/>
          <w:w w:val="100"/>
          <w:position w:val="0"/>
          <w:shd w:val="clear" w:color="auto" w:fill="auto"/>
          <w:lang w:val="en-US" w:eastAsia="en-US" w:bidi="en-US"/>
        </w:rPr>
        <w:t xml:space="preserve">formerly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Kλffa,</w:t>
      </w:r>
      <w:r>
        <w:rPr>
          <w:color w:val="000000"/>
          <w:spacing w:val="0"/>
          <w:w w:val="100"/>
          <w:position w:val="0"/>
          <w:shd w:val="clear" w:color="auto" w:fill="auto"/>
          <w:lang w:val="en-US" w:eastAsia="en-US" w:bidi="en-US"/>
        </w:rPr>
        <w:t xml:space="preserve"> a seaport and watering-place of South Russia, on the east coast of the Crimea, 66 m. E.N.E. of Simferopol and 72 m. by a branch line from the Sebastopol- Ekaterinoslav railway. It has an excellent modern harbour, and its roadstead, which is never frozen, is well protected from east and west winds, and partly also from the south, but its depth is only 11 to 14 ft., reaching 35 ft. in the middle. The population was 10,800 in 1881, and 27,236 in 1897. Among the motley population of Russians, Tatars, Armenians, Germans and Greeks are several hundred Qaraite Jews. Few remains of its former importance exist, the chief being the Citadel built by the Genoese and still showing Latin inscriptions on some of its towers, the one or two detached towers left when the town walls were pulled down, and two or three mosques, formerly Genoese churches. The town also possesses a museum, of antiquities and a picture gallery containing the works of the marine painter Ayvazovsky. Theodosia is an episcopal see of the Orthodox Greek Church. Gardening is one of the leading industries; fishing, a few manufactures, and agriculture are</w:t>
      </w:r>
    </w:p>
    <w:sectPr>
      <w:footnotePr>
        <w:pos w:val="pageBottom"/>
        <w:numFmt w:val="decimal"/>
        <w:numRestart w:val="continuous"/>
      </w:footnotePr>
      <w:pgSz w:w="12240" w:h="15840"/>
      <w:pgMar w:top="1150" w:left="948" w:right="890" w:bottom="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