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Constantinople, consisting of 150 orthodox and 36 Macedonian bishops, met in the following year, confirmed the Nicene faith, ordered the affairs of the various sees, and declared the bishop of Constantinople to rank next to the bishop of Rome. The emperor cannot be acquitted of the intolerance which marks edicts such as that depriving apostatizing Christians of the right of bequest. It was not till 389 or 390 that he issued orders for the destruction of the great image of Serapis at Alexandria. Other edicts of an earlier or later date forbade the unorthodox to hold assemblies in the towns, enjoined the surrender of all churches to the catholic bishops, and overthrew the heathen temples "throughout the whole world." During the reign of Theodosius Gregory of Nazianzus was made bishop of Constantinople. In 383 Theodosius called a new council for the discussion of the true faith. The orthodox, the Arians, the Eunomians and the Macedonians all sent champions to maintain their special tenets before the emperor, who finally decided in favour of the orthodox party. He seems to have suffered the Novatians to hold assemblies in the city. Perhaps the most remarkable incident in the life of Theodosius from a personal point of view is the incident of his submission to the reprimands of Ambrose, who dared to rebuke him and refuse to admit him to the Eucharist till he had done public penance for punishing a riot in Thessalonica by a wholesale massacre of the populace. Equally praiseworthy is the generous pardon that the emperor, after much intercession, granted to the seditious people of Antioch, who, out of anger at the growing imposts, had beaten down the imperial statues of their city (387). When the Christians in the eastern part of the empire destroyed a Jewish synagogue and a church belonging to the Valentinians, Theodosius gave orders for the offenders to make reparation. Such impartial conduct drew forth a remonstrance from Ambrose, who, where the interests of his creed were concerned, could forget the common principles of justice.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Theodosius was twice married—(1) to Aelia Flacilla, the mother of Arcadius (377-408) and Honorius (384-423) ; (2) to Galla (d. 394), the daughter of Valentinian I.</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chief authorities for the age of Theodosius are Ammianus Marcellinus, Zosimus, Eunapius and the ecclesiastical historians (Socrates, Sozomen, Theodoret). Much information may also be gleaned from the writings of St Ambrose, St Gregory of Nazianzus, Isidore of Seville, and the orators Pacatus, Libanius, Themistius. Among modern authorities see: E. Gibbon, </w:t>
      </w:r>
      <w:r>
        <w:rPr>
          <w:rFonts w:ascii="Times New Roman" w:eastAsia="Times New Roman" w:hAnsi="Times New Roman" w:cs="Times New Roman"/>
          <w:i/>
          <w:iCs/>
          <w:color w:val="000000"/>
          <w:spacing w:val="0"/>
          <w:w w:val="100"/>
          <w:position w:val="0"/>
          <w:shd w:val="clear" w:color="auto" w:fill="auto"/>
          <w:lang w:val="en-US" w:eastAsia="en-US" w:bidi="en-US"/>
        </w:rPr>
        <w:t>The Decline and Fall of the Roman Empire</w:t>
      </w:r>
      <w:r>
        <w:rPr>
          <w:rFonts w:ascii="Times New Roman" w:eastAsia="Times New Roman" w:hAnsi="Times New Roman" w:cs="Times New Roman"/>
          <w:color w:val="000000"/>
          <w:spacing w:val="0"/>
          <w:w w:val="100"/>
          <w:position w:val="0"/>
          <w:shd w:val="clear" w:color="auto" w:fill="auto"/>
          <w:lang w:val="en-US" w:eastAsia="en-US" w:bidi="en-US"/>
        </w:rPr>
        <w:t xml:space="preserve"> (ed. Bury, London, 1896), chaps. 25 and 27; T. Hodgkin, </w:t>
      </w:r>
      <w:r>
        <w:rPr>
          <w:rFonts w:ascii="Times New Roman" w:eastAsia="Times New Roman" w:hAnsi="Times New Roman" w:cs="Times New Roman"/>
          <w:i/>
          <w:iCs/>
          <w:color w:val="000000"/>
          <w:spacing w:val="0"/>
          <w:w w:val="100"/>
          <w:position w:val="0"/>
          <w:shd w:val="clear" w:color="auto" w:fill="auto"/>
          <w:lang w:val="en-US" w:eastAsia="en-US" w:bidi="en-US"/>
        </w:rPr>
        <w:t>Italy and her Invaders</w:t>
      </w:r>
      <w:r>
        <w:rPr>
          <w:rFonts w:ascii="Times New Roman" w:eastAsia="Times New Roman" w:hAnsi="Times New Roman" w:cs="Times New Roman"/>
          <w:color w:val="000000"/>
          <w:spacing w:val="0"/>
          <w:w w:val="100"/>
          <w:position w:val="0"/>
          <w:shd w:val="clear" w:color="auto" w:fill="auto"/>
          <w:lang w:val="en-US" w:eastAsia="en-US" w:bidi="en-US"/>
        </w:rPr>
        <w:t xml:space="preserve"> (Oxford, 1892), chaps. 5, 6, 8—II ; A. </w:t>
      </w:r>
      <w:r>
        <w:rPr>
          <w:rFonts w:ascii="Times New Roman" w:eastAsia="Times New Roman" w:hAnsi="Times New Roman" w:cs="Times New Roman"/>
          <w:color w:val="000000"/>
          <w:spacing w:val="0"/>
          <w:w w:val="100"/>
          <w:position w:val="0"/>
          <w:shd w:val="clear" w:color="auto" w:fill="auto"/>
          <w:lang w:val="de-DE" w:eastAsia="de-DE" w:bidi="de-DE"/>
        </w:rPr>
        <w:t xml:space="preserve">Güldenpenning </w:t>
      </w:r>
      <w:r>
        <w:rPr>
          <w:rFonts w:ascii="Times New Roman" w:eastAsia="Times New Roman" w:hAnsi="Times New Roman" w:cs="Times New Roman"/>
          <w:color w:val="000000"/>
          <w:spacing w:val="0"/>
          <w:w w:val="100"/>
          <w:position w:val="0"/>
          <w:shd w:val="clear" w:color="auto" w:fill="auto"/>
          <w:lang w:val="en-US" w:eastAsia="en-US" w:bidi="en-US"/>
        </w:rPr>
        <w:t xml:space="preserve">and J. lfland,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Kaiser Theodosius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Grosse</w:t>
      </w:r>
      <w:r>
        <w:rPr>
          <w:rFonts w:ascii="Times New Roman" w:eastAsia="Times New Roman" w:hAnsi="Times New Roman" w:cs="Times New Roman"/>
          <w:color w:val="000000"/>
          <w:spacing w:val="0"/>
          <w:w w:val="100"/>
          <w:position w:val="0"/>
          <w:shd w:val="clear" w:color="auto" w:fill="auto"/>
          <w:lang w:val="en-US" w:eastAsia="en-US" w:bidi="en-US"/>
        </w:rPr>
        <w:t xml:space="preserve"> (Halle, 1878);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R. Sievers, </w:t>
      </w:r>
      <w:r>
        <w:rPr>
          <w:rFonts w:ascii="Times New Roman" w:eastAsia="Times New Roman" w:hAnsi="Times New Roman" w:cs="Times New Roman"/>
          <w:i/>
          <w:iCs/>
          <w:color w:val="000000"/>
          <w:spacing w:val="0"/>
          <w:w w:val="100"/>
          <w:position w:val="0"/>
          <w:shd w:val="clear" w:color="auto" w:fill="auto"/>
          <w:lang w:val="de-DE" w:eastAsia="de-DE" w:bidi="de-DE"/>
        </w:rPr>
        <w:t>Studien zur Geschichte der römischen Kaiser</w:t>
      </w:r>
      <w:r>
        <w:rPr>
          <w:rFonts w:ascii="Times New Roman" w:eastAsia="Times New Roman" w:hAnsi="Times New Roman" w:cs="Times New Roman"/>
          <w:color w:val="000000"/>
          <w:spacing w:val="0"/>
          <w:w w:val="100"/>
          <w:position w:val="0"/>
          <w:shd w:val="clear" w:color="auto" w:fill="auto"/>
          <w:lang w:val="de-DE" w:eastAsia="de-DE" w:bidi="de-DE"/>
        </w:rPr>
        <w:t xml:space="preserve"> (Berlin, </w:t>
      </w:r>
      <w:r>
        <w:rPr>
          <w:rFonts w:ascii="Times New Roman" w:eastAsia="Times New Roman" w:hAnsi="Times New Roman" w:cs="Times New Roman"/>
          <w:color w:val="000000"/>
          <w:spacing w:val="0"/>
          <w:w w:val="100"/>
          <w:position w:val="0"/>
          <w:shd w:val="clear" w:color="auto" w:fill="auto"/>
          <w:lang w:val="en-US" w:eastAsia="en-US" w:bidi="en-US"/>
        </w:rPr>
        <w:t xml:space="preserve">1870), </w:t>
      </w:r>
      <w:r>
        <w:rPr>
          <w:rFonts w:ascii="Times New Roman" w:eastAsia="Times New Roman" w:hAnsi="Times New Roman" w:cs="Times New Roman"/>
          <w:color w:val="000000"/>
          <w:spacing w:val="0"/>
          <w:w w:val="100"/>
          <w:position w:val="0"/>
          <w:shd w:val="clear" w:color="auto" w:fill="auto"/>
          <w:lang w:val="de-DE" w:eastAsia="de-DE" w:bidi="de-DE"/>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283-333.</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z w:val="18"/>
          <w:szCs w:val="18"/>
          <w:shd w:val="clear" w:color="auto" w:fill="auto"/>
          <w:lang w:val="de-DE" w:eastAsia="de-DE" w:bidi="de-DE"/>
        </w:rPr>
        <w:t>Theodosius</w:t>
      </w:r>
      <w:r>
        <w:rPr>
          <w:color w:val="000000"/>
          <w:spacing w:val="0"/>
          <w:w w:val="100"/>
          <w:position w:val="0"/>
          <w:shd w:val="clear" w:color="auto" w:fill="auto"/>
          <w:lang w:val="de-DE" w:eastAsia="de-DE" w:bidi="de-DE"/>
        </w:rPr>
        <w:t xml:space="preserve"> II. </w:t>
      </w:r>
      <w:r>
        <w:rPr>
          <w:color w:val="000000"/>
          <w:spacing w:val="0"/>
          <w:w w:val="100"/>
          <w:position w:val="0"/>
          <w:shd w:val="clear" w:color="auto" w:fill="auto"/>
          <w:lang w:val="en-US" w:eastAsia="en-US" w:bidi="en-US"/>
        </w:rPr>
        <w:t xml:space="preserve">(401-450) succeeded his father </w:t>
      </w:r>
      <w:r>
        <w:rPr>
          <w:color w:val="000000"/>
          <w:spacing w:val="0"/>
          <w:w w:val="100"/>
          <w:position w:val="0"/>
          <w:shd w:val="clear" w:color="auto" w:fill="auto"/>
          <w:lang w:val="de-DE" w:eastAsia="de-DE" w:bidi="de-DE"/>
        </w:rPr>
        <w:t xml:space="preserve">Arcadius </w:t>
      </w:r>
      <w:r>
        <w:rPr>
          <w:color w:val="000000"/>
          <w:spacing w:val="0"/>
          <w:w w:val="100"/>
          <w:position w:val="0"/>
          <w:shd w:val="clear" w:color="auto" w:fill="auto"/>
          <w:lang w:val="en-US" w:eastAsia="en-US" w:bidi="en-US"/>
        </w:rPr>
        <w:t>as emperor of the East in 408. During his minority the empire was ably ruled by the praetorian prefect Anthemius and Pul</w:t>
        <w:softHyphen/>
        <w:t>cheria, who became her brother’s guardian in 414. Under his sister’s care the young emperor was trained in divers accom</w:t>
        <w:softHyphen/>
        <w:t xml:space="preserve">plishments which won him the name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Calligraph</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ē</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w:t>
      </w:r>
      <w:r>
        <w:rPr>
          <w:color w:val="000000"/>
          <w:spacing w:val="0"/>
          <w:w w:val="100"/>
          <w:position w:val="0"/>
          <w:shd w:val="clear" w:color="auto" w:fill="auto"/>
          <w:lang w:val="en-US" w:eastAsia="en-US" w:bidi="en-US"/>
        </w:rPr>
        <w:t xml:space="preserve"> (“ the Penman ”), but grew up into a weak though amiable character. Through his generals Ardoburius and Aspar he waged two fairly successful wars against the Persians (421 and 441), and after the failure of one expedition (431) by means of a gigantic fleet put an end to the piracies of the Vandal Genseric. A Hunnish invasion in 408 was skilfully repelled, but from 441 the Balkan country was repeatedly overrun by the armies of Attila, whose incursions Theodosius feebly attempted to buy off with evcr- incrcasing payments of tribute. His internal administration, though not sufficiently rigorous to check abuses, was upright and thoughtful. Among its chief events may be mentioned the endowment of the university of Constantinople (425), the conciliatory council of Ephesus (434) and the publication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Codex Theodosianus</w:t>
      </w:r>
      <w:r>
        <w:rPr>
          <w:color w:val="000000"/>
          <w:spacing w:val="0"/>
          <w:w w:val="100"/>
          <w:position w:val="0"/>
          <w:shd w:val="clear" w:color="auto" w:fill="auto"/>
          <w:lang w:val="en-US" w:eastAsia="en-US" w:bidi="en-US"/>
        </w:rPr>
        <w:t xml:space="preserve"> (438), a collection of imperial constitutions for the benefit of public officials, which is our chief source of information about the government of the empire in the 5th century. In 450 Theodosius died of injuries sustained through a fall from his horse.</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E. Gibbon, </w:t>
      </w:r>
      <w:r>
        <w:rPr>
          <w:rFonts w:ascii="Times New Roman" w:eastAsia="Times New Roman" w:hAnsi="Times New Roman" w:cs="Times New Roman"/>
          <w:i/>
          <w:iCs/>
          <w:color w:val="000000"/>
          <w:spacing w:val="0"/>
          <w:w w:val="100"/>
          <w:position w:val="0"/>
          <w:shd w:val="clear" w:color="auto" w:fill="auto"/>
          <w:lang w:val="en-US" w:eastAsia="en-US" w:bidi="en-US"/>
        </w:rPr>
        <w:t>The Decline and Fall of the Roman Empire</w:t>
      </w:r>
      <w:r>
        <w:rPr>
          <w:rFonts w:ascii="Times New Roman" w:eastAsia="Times New Roman" w:hAnsi="Times New Roman" w:cs="Times New Roman"/>
          <w:color w:val="000000"/>
          <w:spacing w:val="0"/>
          <w:w w:val="100"/>
          <w:position w:val="0"/>
          <w:shd w:val="clear" w:color="auto" w:fill="auto"/>
          <w:lang w:val="en-US" w:eastAsia="en-US" w:bidi="en-US"/>
        </w:rPr>
        <w:t xml:space="preserve"> (ed. Bury, London, 1896), iii. pp. 381-444; A. </w:t>
      </w:r>
      <w:r>
        <w:rPr>
          <w:rFonts w:ascii="Times New Roman" w:eastAsia="Times New Roman" w:hAnsi="Times New Roman" w:cs="Times New Roman"/>
          <w:color w:val="000000"/>
          <w:spacing w:val="0"/>
          <w:w w:val="100"/>
          <w:position w:val="0"/>
          <w:shd w:val="clear" w:color="auto" w:fill="auto"/>
          <w:lang w:val="de-DE" w:eastAsia="de-DE" w:bidi="de-DE"/>
        </w:rPr>
        <w:t xml:space="preserve">Güldenpenning, </w:t>
      </w:r>
      <w:r>
        <w:rPr>
          <w:rFonts w:ascii="Times New Roman" w:eastAsia="Times New Roman" w:hAnsi="Times New Roman" w:cs="Times New Roman"/>
          <w:i/>
          <w:iCs/>
          <w:color w:val="000000"/>
          <w:spacing w:val="0"/>
          <w:w w:val="100"/>
          <w:position w:val="0"/>
          <w:shd w:val="clear" w:color="auto" w:fill="auto"/>
          <w:lang w:val="de-DE" w:eastAsia="de-DE" w:bidi="de-DE"/>
        </w:rPr>
        <w:t>Geschichte des oströmischen Reiches unter den Kaisern Arkadius und Theodosius II.</w:t>
      </w:r>
      <w:r>
        <w:rPr>
          <w:rFonts w:ascii="Times New Roman" w:eastAsia="Times New Roman" w:hAnsi="Times New Roman" w:cs="Times New Roman"/>
          <w:color w:val="000000"/>
          <w:spacing w:val="0"/>
          <w:w w:val="100"/>
          <w:position w:val="0"/>
          <w:shd w:val="clear" w:color="auto" w:fill="auto"/>
          <w:lang w:val="de-DE" w:eastAsia="de-DE" w:bidi="de-DE"/>
        </w:rPr>
        <w:t xml:space="preserve"> (Halle, </w:t>
      </w:r>
      <w:r>
        <w:rPr>
          <w:rFonts w:ascii="Times New Roman" w:eastAsia="Times New Roman" w:hAnsi="Times New Roman" w:cs="Times New Roman"/>
          <w:color w:val="000000"/>
          <w:spacing w:val="0"/>
          <w:w w:val="100"/>
          <w:position w:val="0"/>
          <w:shd w:val="clear" w:color="auto" w:fill="auto"/>
          <w:lang w:val="en-US" w:eastAsia="en-US" w:bidi="en-US"/>
        </w:rPr>
        <w:t xml:space="preserve">1885), </w:t>
      </w:r>
      <w:r>
        <w:rPr>
          <w:rFonts w:ascii="Times New Roman" w:eastAsia="Times New Roman" w:hAnsi="Times New Roman" w:cs="Times New Roman"/>
          <w:color w:val="000000"/>
          <w:spacing w:val="0"/>
          <w:w w:val="100"/>
          <w:position w:val="0"/>
          <w:shd w:val="clear" w:color="auto" w:fill="auto"/>
          <w:lang w:val="de-DE" w:eastAsia="de-DE" w:bidi="de-DE"/>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 xml:space="preserve">172 </w:t>
      </w:r>
      <w:r>
        <w:rPr>
          <w:rFonts w:ascii="Times New Roman" w:eastAsia="Times New Roman" w:hAnsi="Times New Roman" w:cs="Times New Roman"/>
          <w:color w:val="000000"/>
          <w:spacing w:val="0"/>
          <w:w w:val="100"/>
          <w:position w:val="0"/>
          <w:shd w:val="clear" w:color="auto" w:fill="auto"/>
          <w:lang w:val="de-DE" w:eastAsia="de-DE" w:bidi="de-DE"/>
        </w:rPr>
        <w:t xml:space="preserve">sqq.; T. Mommsen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P. Meyer, </w:t>
      </w:r>
      <w:r>
        <w:rPr>
          <w:rFonts w:ascii="Times New Roman" w:eastAsia="Times New Roman" w:hAnsi="Times New Roman" w:cs="Times New Roman"/>
          <w:i/>
          <w:iCs/>
          <w:color w:val="000000"/>
          <w:spacing w:val="0"/>
          <w:w w:val="100"/>
          <w:position w:val="0"/>
          <w:shd w:val="clear" w:color="auto" w:fill="auto"/>
          <w:lang w:val="de-DE" w:eastAsia="de-DE" w:bidi="de-DE"/>
        </w:rPr>
        <w:t>Theodosii libri XVI.</w:t>
      </w:r>
      <w:r>
        <w:rPr>
          <w:rFonts w:ascii="Times New Roman" w:eastAsia="Times New Roman" w:hAnsi="Times New Roman" w:cs="Times New Roman"/>
          <w:color w:val="000000"/>
          <w:spacing w:val="0"/>
          <w:w w:val="100"/>
          <w:position w:val="0"/>
          <w:shd w:val="clear" w:color="auto" w:fill="auto"/>
          <w:lang w:val="de-DE" w:eastAsia="de-DE" w:bidi="de-DE"/>
        </w:rPr>
        <w:t xml:space="preserve"> (Berlin, </w:t>
      </w:r>
      <w:r>
        <w:rPr>
          <w:rFonts w:ascii="Times New Roman" w:eastAsia="Times New Roman" w:hAnsi="Times New Roman" w:cs="Times New Roman"/>
          <w:color w:val="000000"/>
          <w:spacing w:val="0"/>
          <w:w w:val="100"/>
          <w:position w:val="0"/>
          <w:shd w:val="clear" w:color="auto" w:fill="auto"/>
          <w:lang w:val="en-US" w:eastAsia="en-US" w:bidi="en-US"/>
        </w:rPr>
        <w:t>1904-5).</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z w:val="18"/>
          <w:szCs w:val="18"/>
          <w:shd w:val="clear" w:color="auto" w:fill="auto"/>
          <w:lang w:val="de-DE" w:eastAsia="de-DE" w:bidi="de-DE"/>
        </w:rPr>
        <w:t>Theodosius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III., emperor of the </w:t>
      </w:r>
      <w:r>
        <w:rPr>
          <w:color w:val="000000"/>
          <w:spacing w:val="0"/>
          <w:w w:val="100"/>
          <w:position w:val="0"/>
          <w:shd w:val="clear" w:color="auto" w:fill="auto"/>
          <w:lang w:val="de-DE" w:eastAsia="de-DE" w:bidi="de-DE"/>
        </w:rPr>
        <w:t xml:space="preserve">East </w:t>
      </w:r>
      <w:r>
        <w:rPr>
          <w:color w:val="000000"/>
          <w:spacing w:val="0"/>
          <w:w w:val="100"/>
          <w:position w:val="0"/>
          <w:shd w:val="clear" w:color="auto" w:fill="auto"/>
          <w:lang w:val="en-US" w:eastAsia="en-US" w:bidi="en-US"/>
        </w:rPr>
        <w:t xml:space="preserve">(716-717), </w:t>
      </w:r>
      <w:r>
        <w:rPr>
          <w:color w:val="000000"/>
          <w:spacing w:val="0"/>
          <w:w w:val="100"/>
          <w:position w:val="0"/>
          <w:shd w:val="clear" w:color="auto" w:fill="auto"/>
          <w:lang w:val="de-DE" w:eastAsia="de-DE" w:bidi="de-DE"/>
        </w:rPr>
        <w:t xml:space="preserve">was afinancial </w:t>
      </w:r>
      <w:r>
        <w:rPr>
          <w:color w:val="000000"/>
          <w:spacing w:val="0"/>
          <w:w w:val="100"/>
          <w:position w:val="0"/>
          <w:shd w:val="clear" w:color="auto" w:fill="auto"/>
          <w:lang w:val="en-US" w:eastAsia="en-US" w:bidi="en-US"/>
        </w:rPr>
        <w:t xml:space="preserve">officer whom a Byzantine army rebelling against </w:t>
      </w:r>
      <w:r>
        <w:rPr>
          <w:color w:val="000000"/>
          <w:spacing w:val="0"/>
          <w:w w:val="100"/>
          <w:position w:val="0"/>
          <w:shd w:val="clear" w:color="auto" w:fill="auto"/>
          <w:lang w:val="de-DE" w:eastAsia="de-DE" w:bidi="de-DE"/>
        </w:rPr>
        <w:t xml:space="preserve">Anastasius </w:t>
      </w:r>
      <w:r>
        <w:rPr>
          <w:color w:val="000000"/>
          <w:spacing w:val="0"/>
          <w:w w:val="100"/>
          <w:position w:val="0"/>
          <w:shd w:val="clear" w:color="auto" w:fill="auto"/>
          <w:lang w:val="en-US" w:eastAsia="en-US" w:bidi="en-US"/>
        </w:rPr>
        <w:t xml:space="preserve">III. unexpectedly proclaimed monarch in his stead. He captured Constantinople after a six months’ siege and deposed </w:t>
      </w:r>
      <w:r>
        <w:rPr>
          <w:color w:val="000000"/>
          <w:spacing w:val="0"/>
          <w:w w:val="100"/>
          <w:position w:val="0"/>
          <w:shd w:val="clear" w:color="auto" w:fill="auto"/>
          <w:lang w:val="de-DE" w:eastAsia="de-DE" w:bidi="de-DE"/>
        </w:rPr>
        <w:t xml:space="preserve">Anastasius, </w:t>
      </w:r>
      <w:r>
        <w:rPr>
          <w:color w:val="000000"/>
          <w:spacing w:val="0"/>
          <w:w w:val="100"/>
          <w:position w:val="0"/>
          <w:shd w:val="clear" w:color="auto" w:fill="auto"/>
          <w:lang w:val="en-US" w:eastAsia="en-US" w:bidi="en-US"/>
        </w:rPr>
        <w:t xml:space="preserve">but in the following year was himself forced to resign by a </w:t>
      </w:r>
      <w:r>
        <w:rPr>
          <w:color w:val="000000"/>
          <w:spacing w:val="0"/>
          <w:w w:val="100"/>
          <w:position w:val="0"/>
          <w:shd w:val="clear" w:color="auto" w:fill="auto"/>
          <w:lang w:val="en-US" w:eastAsia="en-US" w:bidi="en-US"/>
        </w:rPr>
        <w:t>new usurper, Leo III. (&lt;7.1</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Theodosius ended his life in a monastery.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See G. Finlay) </w:t>
      </w:r>
      <w:r>
        <w:rPr>
          <w:rFonts w:ascii="Times New Roman" w:eastAsia="Times New Roman" w:hAnsi="Times New Roman" w:cs="Times New Roman"/>
          <w:i/>
          <w:iCs/>
          <w:color w:val="000000"/>
          <w:spacing w:val="0"/>
          <w:w w:val="100"/>
          <w:position w:val="0"/>
          <w:shd w:val="clear" w:color="auto" w:fill="auto"/>
          <w:lang w:val="en-US" w:eastAsia="en-US" w:bidi="en-US"/>
        </w:rPr>
        <w:t>History of Greece</w:t>
      </w:r>
      <w:r>
        <w:rPr>
          <w:rFonts w:ascii="Times New Roman" w:eastAsia="Times New Roman" w:hAnsi="Times New Roman" w:cs="Times New Roman"/>
          <w:color w:val="000000"/>
          <w:spacing w:val="0"/>
          <w:w w:val="100"/>
          <w:position w:val="0"/>
          <w:shd w:val="clear" w:color="auto" w:fill="auto"/>
          <w:lang w:val="en-US" w:eastAsia="en-US" w:bidi="en-US"/>
        </w:rPr>
        <w:t xml:space="preserve"> (ed. 1877, Oxford), i. p. 396).</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(Μ. </w:t>
      </w:r>
      <w:r>
        <w:rPr>
          <w:rFonts w:ascii="Times New Roman" w:eastAsia="Times New Roman" w:hAnsi="Times New Roman" w:cs="Times New Roman"/>
          <w:color w:val="000000"/>
          <w:spacing w:val="0"/>
          <w:w w:val="100"/>
          <w:position w:val="0"/>
          <w:shd w:val="clear" w:color="auto" w:fill="auto"/>
          <w:lang w:val="fr-FR" w:eastAsia="fr-FR" w:bidi="fr-FR"/>
        </w:rPr>
        <w:t xml:space="preserve">O. </w:t>
      </w:r>
      <w:r>
        <w:rPr>
          <w:rFonts w:ascii="Times New Roman" w:eastAsia="Times New Roman" w:hAnsi="Times New Roman" w:cs="Times New Roman"/>
          <w:color w:val="000000"/>
          <w:spacing w:val="0"/>
          <w:w w:val="100"/>
          <w:position w:val="0"/>
          <w:shd w:val="clear" w:color="auto" w:fill="auto"/>
          <w:lang w:val="en-US" w:eastAsia="en-US" w:bidi="en-US"/>
        </w:rPr>
        <w:t>B. C.)</w:t>
      </w:r>
    </w:p>
    <w:p>
      <w:pPr>
        <w:pStyle w:val="Style6"/>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THEODOSIUS OF TRIPOLIS, </w:t>
      </w:r>
      <w:r>
        <w:rPr>
          <w:color w:val="000000"/>
          <w:spacing w:val="0"/>
          <w:w w:val="100"/>
          <w:position w:val="0"/>
          <w:sz w:val="17"/>
          <w:szCs w:val="17"/>
          <w:shd w:val="clear" w:color="auto" w:fill="auto"/>
          <w:lang w:val="en-US" w:eastAsia="en-US" w:bidi="en-US"/>
        </w:rPr>
        <w:t xml:space="preserve">Greek geometer and astronomer, three of whose works were contained in the collection of lesser writings named ó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 xml:space="preserve">μικρός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àarpovoµovµevos</w:t>
      </w:r>
      <w:r>
        <w:rPr>
          <w:color w:val="000000"/>
          <w:spacing w:val="0"/>
          <w:w w:val="100"/>
          <w:position w:val="0"/>
          <w:sz w:val="17"/>
          <w:szCs w:val="17"/>
          <w:shd w:val="clear" w:color="auto" w:fill="auto"/>
          <w:lang w:val="en-US" w:eastAsia="en-US" w:bidi="en-US"/>
        </w:rPr>
        <w:t xml:space="preserve"> (sc.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τόπος),</w:t>
      </w:r>
      <w:r>
        <w:rPr>
          <w:color w:val="000000"/>
          <w:spacing w:val="0"/>
          <w:w w:val="100"/>
          <w:position w:val="0"/>
          <w:sz w:val="17"/>
          <w:szCs w:val="17"/>
          <w:shd w:val="clear" w:color="auto" w:fill="auto"/>
          <w:lang w:val="el-GR" w:eastAsia="el-GR" w:bidi="el-GR"/>
        </w:rPr>
        <w:t xml:space="preserve"> </w:t>
      </w:r>
      <w:r>
        <w:rPr>
          <w:color w:val="000000"/>
          <w:spacing w:val="0"/>
          <w:w w:val="100"/>
          <w:position w:val="0"/>
          <w:sz w:val="17"/>
          <w:szCs w:val="17"/>
          <w:shd w:val="clear" w:color="auto" w:fill="auto"/>
          <w:lang w:val="en-US" w:eastAsia="en-US" w:bidi="en-US"/>
        </w:rPr>
        <w:t xml:space="preserve">or δ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μικρός αστρονόμος.</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perscript"/>
          <w:lang w:val="el-GR" w:eastAsia="el-GR" w:bidi="el-GR"/>
        </w:rPr>
        <w:t>1</w:t>
      </w:r>
      <w:r>
        <w:rPr>
          <w:color w:val="000000"/>
          <w:spacing w:val="0"/>
          <w:w w:val="100"/>
          <w:position w:val="0"/>
          <w:sz w:val="17"/>
          <w:szCs w:val="17"/>
          <w:shd w:val="clear" w:color="auto" w:fill="auto"/>
          <w:lang w:val="el-GR" w:eastAsia="el-GR" w:bidi="el-GR"/>
        </w:rPr>
        <w:t xml:space="preserve"> </w:t>
      </w:r>
      <w:r>
        <w:rPr>
          <w:color w:val="000000"/>
          <w:spacing w:val="0"/>
          <w:w w:val="100"/>
          <w:position w:val="0"/>
          <w:sz w:val="17"/>
          <w:szCs w:val="17"/>
          <w:shd w:val="clear" w:color="auto" w:fill="auto"/>
          <w:lang w:val="fr-FR" w:eastAsia="fr-FR" w:bidi="fr-FR"/>
        </w:rPr>
        <w:t xml:space="preserve">Suidas </w:t>
      </w:r>
      <w:r>
        <w:rPr>
          <w:color w:val="000000"/>
          <w:spacing w:val="0"/>
          <w:w w:val="100"/>
          <w:position w:val="0"/>
          <w:sz w:val="17"/>
          <w:szCs w:val="17"/>
          <w:shd w:val="clear" w:color="auto" w:fill="auto"/>
          <w:lang w:val="en-US" w:eastAsia="en-US" w:bidi="en-US"/>
        </w:rPr>
        <w:t xml:space="preserve">erroneously identifies him with a sceptical philosopher of the same name who lived in the second half of the 2nd century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λ.d.</w:t>
      </w:r>
      <w:r>
        <w:rPr>
          <w:color w:val="000000"/>
          <w:spacing w:val="0"/>
          <w:w w:val="100"/>
          <w:position w:val="0"/>
          <w:sz w:val="17"/>
          <w:szCs w:val="17"/>
          <w:shd w:val="clear" w:color="auto" w:fill="auto"/>
          <w:lang w:val="en-US" w:eastAsia="en-US" w:bidi="en-US"/>
        </w:rPr>
        <w:t xml:space="preserve"> or later, but, on the other hand, distinguishes him from a native of Tripolis who wrote a poem on spring. He is doubtless the same as Theodosius the mathematician, who is mentioned by Strabo amongst the natives of Bithynia distinguished for their learning, and whose sons were also mathematicians, the same, too, as the inventor of a universal sun-dial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(horologium πρoς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παν κλίμα)</w:t>
      </w:r>
      <w:r>
        <w:rPr>
          <w:color w:val="000000"/>
          <w:spacing w:val="0"/>
          <w:w w:val="100"/>
          <w:position w:val="0"/>
          <w:sz w:val="17"/>
          <w:szCs w:val="17"/>
          <w:shd w:val="clear" w:color="auto" w:fill="auto"/>
          <w:lang w:val="el-GR" w:eastAsia="el-GR" w:bidi="el-GR"/>
        </w:rPr>
        <w:t xml:space="preserve"> </w:t>
      </w:r>
      <w:r>
        <w:rPr>
          <w:color w:val="000000"/>
          <w:spacing w:val="0"/>
          <w:w w:val="100"/>
          <w:position w:val="0"/>
          <w:sz w:val="17"/>
          <w:szCs w:val="17"/>
          <w:shd w:val="clear" w:color="auto" w:fill="auto"/>
          <w:lang w:val="en-US" w:eastAsia="en-US" w:bidi="en-US"/>
        </w:rPr>
        <w:t xml:space="preserve">of that name who is praised by Vitruvius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Architecture,</w:t>
      </w:r>
      <w:r>
        <w:rPr>
          <w:color w:val="000000"/>
          <w:spacing w:val="0"/>
          <w:w w:val="100"/>
          <w:position w:val="0"/>
          <w:sz w:val="17"/>
          <w:szCs w:val="17"/>
          <w:shd w:val="clear" w:color="auto" w:fill="auto"/>
          <w:lang w:val="en-US" w:eastAsia="en-US" w:bidi="en-US"/>
        </w:rPr>
        <w:t xml:space="preserve"> ix. 9). His date, there</w:t>
        <w:softHyphen/>
        <w:t xml:space="preserve">fore, could not have been later than the </w:t>
      </w:r>
      <w:r>
        <w:rPr>
          <w:color w:val="000000"/>
          <w:spacing w:val="0"/>
          <w:w w:val="100"/>
          <w:position w:val="0"/>
          <w:sz w:val="17"/>
          <w:szCs w:val="17"/>
          <w:shd w:val="clear" w:color="auto" w:fill="auto"/>
          <w:lang w:val="de-DE" w:eastAsia="de-DE" w:bidi="de-DE"/>
        </w:rPr>
        <w:t xml:space="preserve">ist </w:t>
      </w:r>
      <w:r>
        <w:rPr>
          <w:color w:val="000000"/>
          <w:spacing w:val="0"/>
          <w:w w:val="100"/>
          <w:position w:val="0"/>
          <w:sz w:val="17"/>
          <w:szCs w:val="17"/>
          <w:shd w:val="clear" w:color="auto" w:fill="auto"/>
          <w:lang w:val="en-US" w:eastAsia="en-US" w:bidi="en-US"/>
        </w:rPr>
        <w:t>century B.C.; he may, however, have lived in the preceding century, inasmuch as the names mentioned by Strabo in the passage referred to above are, as far as we know, arranged chronologically, and Theodosius immediately follows Hipparchus, who made astro</w:t>
        <w:softHyphen/>
        <w:t xml:space="preserve">nomical observations between 161 and 126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color w:val="000000"/>
          <w:spacing w:val="0"/>
          <w:w w:val="100"/>
          <w:position w:val="0"/>
          <w:sz w:val="17"/>
          <w:szCs w:val="17"/>
          <w:shd w:val="clear" w:color="auto" w:fill="auto"/>
          <w:lang w:val="en-US" w:eastAsia="en-US" w:bidi="en-US"/>
        </w:rPr>
        <w:t xml:space="preserve"> and precedes Asclepiades the physician, who lived at Rome at the beginning of the </w:t>
      </w:r>
      <w:r>
        <w:rPr>
          <w:color w:val="000000"/>
          <w:spacing w:val="0"/>
          <w:w w:val="100"/>
          <w:position w:val="0"/>
          <w:sz w:val="17"/>
          <w:szCs w:val="17"/>
          <w:shd w:val="clear" w:color="auto" w:fill="auto"/>
          <w:lang w:val="de-DE" w:eastAsia="de-DE" w:bidi="de-DE"/>
        </w:rPr>
        <w:t xml:space="preserve">ist </w:t>
      </w:r>
      <w:r>
        <w:rPr>
          <w:color w:val="000000"/>
          <w:spacing w:val="0"/>
          <w:w w:val="100"/>
          <w:position w:val="0"/>
          <w:sz w:val="17"/>
          <w:szCs w:val="17"/>
          <w:shd w:val="clear" w:color="auto" w:fill="auto"/>
          <w:lang w:val="en-US" w:eastAsia="en-US" w:bidi="en-US"/>
        </w:rPr>
        <w:t xml:space="preserve">century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IBs chief work </w:t>
      </w:r>
      <w:r>
        <w:rPr>
          <w:rFonts w:ascii="Times New Roman" w:eastAsia="Times New Roman" w:hAnsi="Times New Roman" w:cs="Times New Roman"/>
          <w:color w:val="000000"/>
          <w:spacing w:val="0"/>
          <w:w w:val="100"/>
          <w:position w:val="0"/>
          <w:shd w:val="clear" w:color="auto" w:fill="auto"/>
          <w:lang w:val="el-GR" w:eastAsia="el-GR" w:bidi="el-GR"/>
        </w:rPr>
        <w:t xml:space="preserve">-σφαιρικά, </w:t>
      </w:r>
      <w:r>
        <w:rPr>
          <w:rFonts w:ascii="Times New Roman" w:eastAsia="Times New Roman" w:hAnsi="Times New Roman" w:cs="Times New Roman"/>
          <w:color w:val="000000"/>
          <w:spacing w:val="0"/>
          <w:w w:val="100"/>
          <w:position w:val="0"/>
          <w:shd w:val="clear" w:color="auto" w:fill="auto"/>
          <w:lang w:val="en-US" w:eastAsia="en-US" w:bidi="en-US"/>
        </w:rPr>
        <w:t>in three books—is a tolerably com</w:t>
        <w:softHyphen/>
        <w:t xml:space="preserve">plete treatise on the pure geometry of the surface of a sphere, and was still the classical book on the subject in Pappus’s time. It does not contain (except for a faint suggestion in ιii. 11-12) any trace of spherical trigonometry, which, on the other hand, was the special subject of the work having the same title, and included in the same collection, of Menelaus of Alexandria, who lived at the end of the </w:t>
      </w:r>
      <w:r>
        <w:rPr>
          <w:rFonts w:ascii="Times New Roman" w:eastAsia="Times New Roman" w:hAnsi="Times New Roman" w:cs="Times New Roman"/>
          <w:color w:val="000000"/>
          <w:spacing w:val="0"/>
          <w:w w:val="100"/>
          <w:position w:val="0"/>
          <w:shd w:val="clear" w:color="auto" w:fill="auto"/>
          <w:lang w:val="de-DE" w:eastAsia="de-DE" w:bidi="de-DE"/>
        </w:rPr>
        <w:t xml:space="preserve">ist </w:t>
      </w:r>
      <w:r>
        <w:rPr>
          <w:rFonts w:ascii="Times New Roman" w:eastAsia="Times New Roman" w:hAnsi="Times New Roman" w:cs="Times New Roman"/>
          <w:color w:val="000000"/>
          <w:spacing w:val="0"/>
          <w:w w:val="100"/>
          <w:position w:val="0"/>
          <w:shd w:val="clear" w:color="auto" w:fill="auto"/>
          <w:lang w:val="en-US" w:eastAsia="en-US" w:bidi="en-US"/>
        </w:rPr>
        <w:t>century.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Nokk </w:t>
      </w:r>
      <w:r>
        <w:rPr>
          <w:rFonts w:ascii="Times New Roman" w:eastAsia="Times New Roman" w:hAnsi="Times New Roman" w:cs="Times New Roman"/>
          <w:i/>
          <w:iCs/>
          <w:color w:val="000000"/>
          <w:spacing w:val="0"/>
          <w:w w:val="100"/>
          <w:position w:val="0"/>
          <w:shd w:val="clear" w:color="auto" w:fill="auto"/>
          <w:lang w:val="en-US" w:eastAsia="en-US" w:bidi="en-US"/>
        </w:rPr>
        <w:t>(Ueber die Sphärik des Theodosius·,</w:t>
      </w:r>
      <w:r>
        <w:rPr>
          <w:rFonts w:ascii="Times New Roman" w:eastAsia="Times New Roman" w:hAnsi="Times New Roman" w:cs="Times New Roman"/>
          <w:color w:val="000000"/>
          <w:spacing w:val="0"/>
          <w:w w:val="100"/>
          <w:position w:val="0"/>
          <w:shd w:val="clear" w:color="auto" w:fill="auto"/>
          <w:lang w:val="en-US" w:eastAsia="en-US" w:bidi="en-US"/>
        </w:rPr>
        <w:t xml:space="preserve"> Karlsruhe, 1847), Heiberg </w:t>
      </w:r>
      <w:r>
        <w:rPr>
          <w:rFonts w:ascii="Times New Roman" w:eastAsia="Times New Roman" w:hAnsi="Times New Roman" w:cs="Times New Roman"/>
          <w:i/>
          <w:iCs/>
          <w:color w:val="000000"/>
          <w:spacing w:val="0"/>
          <w:w w:val="100"/>
          <w:position w:val="0"/>
          <w:shd w:val="clear" w:color="auto" w:fill="auto"/>
          <w:lang w:val="en-US" w:eastAsia="en-US" w:bidi="en-US"/>
        </w:rPr>
        <w:t>(Litterar</w:t>
      </w:r>
      <w:r>
        <w:rPr>
          <w:rFonts w:ascii="Times New Roman" w:eastAsia="Times New Roman" w:hAnsi="Times New Roman" w:cs="Times New Roman"/>
          <w:i/>
          <w:iCs/>
          <w:color w:val="000000"/>
          <w:spacing w:val="0"/>
          <w:w w:val="100"/>
          <w:position w:val="0"/>
          <w:shd w:val="clear" w:color="auto" w:fill="auto"/>
          <w:lang w:val="de-DE" w:eastAsia="de-DE" w:bidi="de-DE"/>
        </w:rPr>
        <w:t>geschichtliche Studien über Euklid,</w:t>
      </w:r>
      <w:r>
        <w:rPr>
          <w:rFonts w:ascii="Times New Roman" w:eastAsia="Times New Roman" w:hAnsi="Times New Roman" w:cs="Times New Roman"/>
          <w:color w:val="000000"/>
          <w:spacing w:val="0"/>
          <w:w w:val="100"/>
          <w:position w:val="0"/>
          <w:shd w:val="clear" w:color="auto" w:fill="auto"/>
          <w:lang w:val="de-DE" w:eastAsia="de-DE" w:bidi="de-DE"/>
        </w:rPr>
        <w:t xml:space="preserve"> pp. </w:t>
      </w:r>
      <w:r>
        <w:rPr>
          <w:rFonts w:ascii="Times New Roman" w:eastAsia="Times New Roman" w:hAnsi="Times New Roman" w:cs="Times New Roman"/>
          <w:color w:val="000000"/>
          <w:spacing w:val="0"/>
          <w:w w:val="100"/>
          <w:position w:val="0"/>
          <w:shd w:val="clear" w:color="auto" w:fill="auto"/>
          <w:lang w:val="en-US" w:eastAsia="en-US" w:bidi="en-US"/>
        </w:rPr>
        <w:t xml:space="preserve">43 </w:t>
      </w:r>
      <w:r>
        <w:rPr>
          <w:rFonts w:ascii="Times New Roman" w:eastAsia="Times New Roman" w:hAnsi="Times New Roman" w:cs="Times New Roman"/>
          <w:color w:val="000000"/>
          <w:spacing w:val="0"/>
          <w:w w:val="100"/>
          <w:position w:val="0"/>
          <w:shd w:val="clear" w:color="auto" w:fill="auto"/>
          <w:lang w:val="de-DE" w:eastAsia="de-DE" w:bidi="de-DE"/>
        </w:rPr>
        <w:t xml:space="preserve">seq.; Leipzig, </w:t>
      </w:r>
      <w:r>
        <w:rPr>
          <w:rFonts w:ascii="Times New Roman" w:eastAsia="Times New Roman" w:hAnsi="Times New Roman" w:cs="Times New Roman"/>
          <w:color w:val="000000"/>
          <w:spacing w:val="0"/>
          <w:w w:val="100"/>
          <w:position w:val="0"/>
          <w:shd w:val="clear" w:color="auto" w:fill="auto"/>
          <w:lang w:val="en-US" w:eastAsia="en-US" w:bidi="en-US"/>
        </w:rPr>
        <w:t xml:space="preserve">1882), and </w:t>
      </w:r>
      <w:r>
        <w:rPr>
          <w:rFonts w:ascii="Times New Roman" w:eastAsia="Times New Roman" w:hAnsi="Times New Roman" w:cs="Times New Roman"/>
          <w:color w:val="000000"/>
          <w:spacing w:val="0"/>
          <w:w w:val="100"/>
          <w:position w:val="0"/>
          <w:shd w:val="clear" w:color="auto" w:fill="auto"/>
          <w:lang w:val="de-DE" w:eastAsia="de-DE" w:bidi="de-DE"/>
        </w:rPr>
        <w:t xml:space="preserve">Hultsch </w:t>
      </w:r>
      <w:r>
        <w:rPr>
          <w:rFonts w:ascii="Times New Roman" w:eastAsia="Times New Roman" w:hAnsi="Times New Roman" w:cs="Times New Roman"/>
          <w:i/>
          <w:iCs/>
          <w:color w:val="000000"/>
          <w:spacing w:val="0"/>
          <w:w w:val="100"/>
          <w:position w:val="0"/>
          <w:shd w:val="clear" w:color="auto" w:fill="auto"/>
          <w:lang w:val="de-DE" w:eastAsia="de-DE" w:bidi="de-DE"/>
        </w:rPr>
        <w:t xml:space="preserve">(Jahrbücher für classische Philologie, </w:t>
      </w:r>
      <w:r>
        <w:rPr>
          <w:rFonts w:ascii="Times New Roman" w:eastAsia="Times New Roman" w:hAnsi="Times New Roman" w:cs="Times New Roman"/>
          <w:color w:val="000000"/>
          <w:spacing w:val="0"/>
          <w:w w:val="100"/>
          <w:position w:val="0"/>
          <w:shd w:val="clear" w:color="auto" w:fill="auto"/>
          <w:lang w:val="en-US" w:eastAsia="en-US" w:bidi="en-US"/>
        </w:rPr>
        <w:t xml:space="preserve">1883, </w:t>
      </w:r>
      <w:r>
        <w:rPr>
          <w:rFonts w:ascii="Times New Roman" w:eastAsia="Times New Roman" w:hAnsi="Times New Roman" w:cs="Times New Roman"/>
          <w:color w:val="000000"/>
          <w:spacing w:val="0"/>
          <w:w w:val="100"/>
          <w:position w:val="0"/>
          <w:shd w:val="clear" w:color="auto" w:fill="auto"/>
          <w:lang w:val="de-DE" w:eastAsia="de-DE" w:bidi="de-DE"/>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 xml:space="preserve">415-420, and </w:t>
      </w:r>
      <w:r>
        <w:rPr>
          <w:rFonts w:ascii="Times New Roman" w:eastAsia="Times New Roman" w:hAnsi="Times New Roman" w:cs="Times New Roman"/>
          <w:i/>
          <w:iCs/>
          <w:color w:val="000000"/>
          <w:spacing w:val="0"/>
          <w:w w:val="100"/>
          <w:position w:val="0"/>
          <w:shd w:val="clear" w:color="auto" w:fill="auto"/>
          <w:lang w:val="de-DE" w:eastAsia="de-DE" w:bidi="de-DE"/>
        </w:rPr>
        <w:t>Autolycus;</w:t>
      </w:r>
      <w:r>
        <w:rPr>
          <w:rFonts w:ascii="Times New Roman" w:eastAsia="Times New Roman" w:hAnsi="Times New Roman" w:cs="Times New Roman"/>
          <w:color w:val="000000"/>
          <w:spacing w:val="0"/>
          <w:w w:val="100"/>
          <w:position w:val="0"/>
          <w:shd w:val="clear" w:color="auto" w:fill="auto"/>
          <w:lang w:val="de-DE" w:eastAsia="de-DE" w:bidi="de-DE"/>
        </w:rPr>
        <w:t xml:space="preserve"> Leipzig, </w:t>
      </w:r>
      <w:r>
        <w:rPr>
          <w:rFonts w:ascii="Times New Roman" w:eastAsia="Times New Roman" w:hAnsi="Times New Roman" w:cs="Times New Roman"/>
          <w:color w:val="000000"/>
          <w:spacing w:val="0"/>
          <w:w w:val="100"/>
          <w:position w:val="0"/>
          <w:shd w:val="clear" w:color="auto" w:fill="auto"/>
          <w:lang w:val="en-US" w:eastAsia="en-US" w:bidi="en-US"/>
        </w:rPr>
        <w:t xml:space="preserve">1885) have proved that as early as the middle of the 4th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there existed a Greek text-book on </w:t>
      </w:r>
      <w:r>
        <w:rPr>
          <w:rFonts w:ascii="Times New Roman" w:eastAsia="Times New Roman" w:hAnsi="Times New Roman" w:cs="Times New Roman"/>
          <w:i/>
          <w:iCs/>
          <w:color w:val="000000"/>
          <w:spacing w:val="0"/>
          <w:w w:val="100"/>
          <w:position w:val="0"/>
          <w:shd w:val="clear" w:color="auto" w:fill="auto"/>
          <w:lang w:val="en-US" w:eastAsia="en-US" w:bidi="en-US"/>
        </w:rPr>
        <w:t>Spherics</w:t>
      </w:r>
      <w:r>
        <w:rPr>
          <w:rFonts w:ascii="Times New Roman" w:eastAsia="Times New Roman" w:hAnsi="Times New Roman" w:cs="Times New Roman"/>
          <w:color w:val="000000"/>
          <w:spacing w:val="0"/>
          <w:w w:val="100"/>
          <w:position w:val="0"/>
          <w:shd w:val="clear" w:color="auto" w:fill="auto"/>
          <w:lang w:val="en-US" w:eastAsia="en-US" w:bidi="en-US"/>
        </w:rPr>
        <w:t xml:space="preserve"> which, in its essential contents, scarcely deviated from the three books of Theodosius. He must therefore be regarded as merely the editor, or at most the elaborator and expounder, of a doctrine which existed some centuries before him. A careful analysis of Theodosius’ work, from this point of view, will be found in A∙ A. Björnbo’s </w:t>
      </w:r>
      <w:r>
        <w:rPr>
          <w:rFonts w:ascii="Times New Roman" w:eastAsia="Times New Roman" w:hAnsi="Times New Roman" w:cs="Times New Roman"/>
          <w:i/>
          <w:iCs/>
          <w:color w:val="000000"/>
          <w:spacing w:val="0"/>
          <w:w w:val="100"/>
          <w:position w:val="0"/>
          <w:shd w:val="clear" w:color="auto" w:fill="auto"/>
          <w:lang w:val="de-DE" w:eastAsia="de-DE" w:bidi="de-DE"/>
        </w:rPr>
        <w:t xml:space="preserve">Studien über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Menelaos Sphärik </w:t>
      </w:r>
      <w:r>
        <w:rPr>
          <w:rFonts w:ascii="Times New Roman" w:eastAsia="Times New Roman" w:hAnsi="Times New Roman" w:cs="Times New Roman"/>
          <w:i/>
          <w:iCs/>
          <w:color w:val="000000"/>
          <w:spacing w:val="0"/>
          <w:w w:val="100"/>
          <w:position w:val="0"/>
          <w:shd w:val="clear" w:color="auto" w:fill="auto"/>
          <w:lang w:val="de-DE" w:eastAsia="de-DE" w:bidi="de-DE"/>
        </w:rPr>
        <w:t xml:space="preserve">(Abhandlungen zur Geschichte der mathematischen Wissenschaften, </w:t>
      </w:r>
      <w:r>
        <w:rPr>
          <w:rFonts w:ascii="Times New Roman" w:eastAsia="Times New Roman" w:hAnsi="Times New Roman" w:cs="Times New Roman"/>
          <w:color w:val="000000"/>
          <w:spacing w:val="0"/>
          <w:w w:val="100"/>
          <w:position w:val="0"/>
          <w:shd w:val="clear" w:color="auto" w:fill="auto"/>
          <w:lang w:val="de-DE" w:eastAsia="de-DE" w:bidi="de-DE"/>
        </w:rPr>
        <w:t xml:space="preserve">xiv.; Teubner, </w:t>
      </w:r>
      <w:r>
        <w:rPr>
          <w:rFonts w:ascii="Times New Roman" w:eastAsia="Times New Roman" w:hAnsi="Times New Roman" w:cs="Times New Roman"/>
          <w:color w:val="000000"/>
          <w:spacing w:val="0"/>
          <w:w w:val="100"/>
          <w:position w:val="0"/>
          <w:shd w:val="clear" w:color="auto" w:fill="auto"/>
          <w:lang w:val="en-US" w:eastAsia="en-US" w:bidi="en-US"/>
        </w:rPr>
        <w:t>1902).</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Spherics</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color w:val="000000"/>
          <w:spacing w:val="0"/>
          <w:w w:val="100"/>
          <w:position w:val="0"/>
          <w:shd w:val="clear" w:color="auto" w:fill="auto"/>
          <w:lang w:val="de-DE" w:eastAsia="de-DE" w:bidi="de-DE"/>
        </w:rPr>
        <w:t xml:space="preserve">Theodosius was </w:t>
      </w:r>
      <w:r>
        <w:rPr>
          <w:rFonts w:ascii="Times New Roman" w:eastAsia="Times New Roman" w:hAnsi="Times New Roman" w:cs="Times New Roman"/>
          <w:color w:val="000000"/>
          <w:spacing w:val="0"/>
          <w:w w:val="100"/>
          <w:position w:val="0"/>
          <w:shd w:val="clear" w:color="auto" w:fill="auto"/>
          <w:lang w:val="en-US" w:eastAsia="en-US" w:bidi="en-US"/>
        </w:rPr>
        <w:t>translated into Arabic at the beginning of the 10th century, and from the Arabic into Latin in the 12th century by Plato of Tivoli (Tiburtinus) This translation was published in 1518 at Venice, but was found so faulty by J. Voegelinus that he published a new Latin version, together with additions from the Arabian commentators (Vienna, 1529, 4to); other Latin translations were published by F. Maurolycus (Messina, I55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fob); by C. Clavius (Rome, 1586, 4to); and by Barrow under the title, </w:t>
      </w:r>
      <w:r>
        <w:rPr>
          <w:rFonts w:ascii="Times New Roman" w:eastAsia="Times New Roman" w:hAnsi="Times New Roman" w:cs="Times New Roman"/>
          <w:i/>
          <w:iCs/>
          <w:color w:val="000000"/>
          <w:spacing w:val="0"/>
          <w:w w:val="100"/>
          <w:position w:val="0"/>
          <w:shd w:val="clear" w:color="auto" w:fill="auto"/>
          <w:lang w:val="de-DE" w:eastAsia="de-DE" w:bidi="de-DE"/>
        </w:rPr>
        <w:t xml:space="preserve">Theodosii </w:t>
      </w:r>
      <w:r>
        <w:rPr>
          <w:rFonts w:ascii="Times New Roman" w:eastAsia="Times New Roman" w:hAnsi="Times New Roman" w:cs="Times New Roman"/>
          <w:i/>
          <w:iCs/>
          <w:color w:val="000000"/>
          <w:spacing w:val="0"/>
          <w:w w:val="100"/>
          <w:position w:val="0"/>
          <w:shd w:val="clear" w:color="auto" w:fill="auto"/>
          <w:lang w:val="en-US" w:eastAsia="en-US" w:bidi="en-US"/>
        </w:rPr>
        <w:t xml:space="preserve">Sphaerica, Methodo Nova Illustrata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Succincte </w:t>
      </w:r>
      <w:r>
        <w:rPr>
          <w:rFonts w:ascii="Times New Roman" w:eastAsia="Times New Roman" w:hAnsi="Times New Roman" w:cs="Times New Roman"/>
          <w:i/>
          <w:iCs/>
          <w:color w:val="000000"/>
          <w:spacing w:val="0"/>
          <w:w w:val="100"/>
          <w:position w:val="0"/>
          <w:shd w:val="clear" w:color="auto" w:fill="auto"/>
          <w:lang w:val="en-US" w:eastAsia="en-US" w:bidi="en-US"/>
        </w:rPr>
        <w:t>Demonstrata.</w:t>
      </w:r>
      <w:r>
        <w:rPr>
          <w:rFonts w:ascii="Times New Roman" w:eastAsia="Times New Roman" w:hAnsi="Times New Roman" w:cs="Times New Roman"/>
          <w:color w:val="000000"/>
          <w:spacing w:val="0"/>
          <w:w w:val="100"/>
          <w:position w:val="0"/>
          <w:shd w:val="clear" w:color="auto" w:fill="auto"/>
          <w:lang w:val="en-US" w:eastAsia="en-US" w:bidi="en-US"/>
        </w:rPr>
        <w:t xml:space="preserve"> (London, 1675, 4t0). The Greek text was first published, and with it a Latin translation, by J. Pena (Paris, 1558, 4to); it has been edited since by Joseph Hunt (Oxford, 1707), and by E. Nizze (Berlin, 1852), but these two editions arc founded on that of Pena. There is also a German translation by Nizze (Stralsund, 1826). His two editions arc accompanied with valuable notes and an appendix containing additions from Voege</w:t>
        <w:softHyphen/>
        <w:t>linus and others.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two other works of Theodosius which have come down to us have not as yet been published in the original. The propositions, without demonstrations, in the work </w:t>
      </w:r>
      <w:r>
        <w:rPr>
          <w:rFonts w:ascii="Times New Roman" w:eastAsia="Times New Roman" w:hAnsi="Times New Roman" w:cs="Times New Roman"/>
          <w:i/>
          <w:iCs/>
          <w:color w:val="000000"/>
          <w:spacing w:val="0"/>
          <w:w w:val="100"/>
          <w:position w:val="0"/>
          <w:shd w:val="clear" w:color="auto" w:fill="auto"/>
          <w:lang w:val="en-US" w:eastAsia="en-US" w:bidi="en-US"/>
        </w:rPr>
        <w:t xml:space="preserve">τtρl rjµepâv κal </w:t>
      </w:r>
      <w:r>
        <w:rPr>
          <w:rFonts w:ascii="Times New Roman" w:eastAsia="Times New Roman" w:hAnsi="Times New Roman" w:cs="Times New Roman"/>
          <w:i/>
          <w:iCs/>
          <w:color w:val="000000"/>
          <w:spacing w:val="0"/>
          <w:w w:val="100"/>
          <w:position w:val="0"/>
          <w:shd w:val="clear" w:color="auto" w:fill="auto"/>
          <w:lang w:val="el-GR" w:eastAsia="el-GR" w:bidi="el-GR"/>
        </w:rPr>
        <w:t xml:space="preserve">ηικτάν </w:t>
      </w:r>
      <w:r>
        <w:rPr>
          <w:rFonts w:ascii="Times New Roman" w:eastAsia="Times New Roman" w:hAnsi="Times New Roman" w:cs="Times New Roman"/>
          <w:i/>
          <w:iCs/>
          <w:color w:val="000000"/>
          <w:spacing w:val="0"/>
          <w:w w:val="100"/>
          <w:position w:val="0"/>
          <w:shd w:val="clear" w:color="auto" w:fill="auto"/>
          <w:lang w:val="en-US" w:eastAsia="en-US" w:bidi="en-US"/>
        </w:rPr>
        <w:t>(On Days and Nights),</w:t>
      </w:r>
      <w:r>
        <w:rPr>
          <w:rFonts w:ascii="Times New Roman" w:eastAsia="Times New Roman" w:hAnsi="Times New Roman" w:cs="Times New Roman"/>
          <w:color w:val="000000"/>
          <w:spacing w:val="0"/>
          <w:w w:val="100"/>
          <w:position w:val="0"/>
          <w:shd w:val="clear" w:color="auto" w:fill="auto"/>
          <w:lang w:val="en-US" w:eastAsia="en-US" w:bidi="en-US"/>
        </w:rPr>
        <w:t xml:space="preserve"> in two books, were given by Dasypodius, in Greek and Latin, in his </w:t>
      </w:r>
      <w:r>
        <w:rPr>
          <w:rFonts w:ascii="Times New Roman" w:eastAsia="Times New Roman" w:hAnsi="Times New Roman" w:cs="Times New Roman"/>
          <w:i/>
          <w:iCs/>
          <w:color w:val="000000"/>
          <w:spacing w:val="0"/>
          <w:w w:val="100"/>
          <w:position w:val="0"/>
          <w:shd w:val="clear" w:color="auto" w:fill="auto"/>
          <w:lang w:val="en-US" w:eastAsia="en-US" w:bidi="en-US"/>
        </w:rPr>
        <w:t>Sphaericae Doctrιnae Propositiones</w:t>
      </w:r>
      <w:r>
        <w:rPr>
          <w:rFonts w:ascii="Times New Roman" w:eastAsia="Times New Roman" w:hAnsi="Times New Roman" w:cs="Times New Roman"/>
          <w:color w:val="000000"/>
          <w:spacing w:val="0"/>
          <w:w w:val="100"/>
          <w:position w:val="0"/>
          <w:shd w:val="clear" w:color="auto" w:fill="auto"/>
          <w:lang w:val="en-US" w:eastAsia="en-US" w:bidi="en-US"/>
        </w:rPr>
        <w:t xml:space="preserve"> (Stras</w:t>
        <w:softHyphen/>
        <w:t xml:space="preserve">burg, 1572, 8vo). A Latin version of the complete work, with ancient </w:t>
      </w:r>
      <w:r>
        <w:rPr>
          <w:rFonts w:ascii="Times New Roman" w:eastAsia="Times New Roman" w:hAnsi="Times New Roman" w:cs="Times New Roman"/>
          <w:i/>
          <w:iCs/>
          <w:color w:val="000000"/>
          <w:spacing w:val="0"/>
          <w:w w:val="100"/>
          <w:position w:val="0"/>
          <w:shd w:val="clear" w:color="auto" w:fill="auto"/>
          <w:lang w:val="en-US" w:eastAsia="en-US" w:bidi="en-US"/>
        </w:rPr>
        <w:t>scholia</w:t>
      </w:r>
      <w:r>
        <w:rPr>
          <w:rFonts w:ascii="Times New Roman" w:eastAsia="Times New Roman" w:hAnsi="Times New Roman" w:cs="Times New Roman"/>
          <w:color w:val="000000"/>
          <w:spacing w:val="0"/>
          <w:w w:val="100"/>
          <w:position w:val="0"/>
          <w:shd w:val="clear" w:color="auto" w:fill="auto"/>
          <w:lang w:val="en-US" w:eastAsia="en-US" w:bidi="en-US"/>
        </w:rPr>
        <w:t xml:space="preserve"> and figures, was given by Joseph Auria (Rome, 1591, 4t0). Pappus has given a pretty full commentary on the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This collection contained, according to Fabricius, </w:t>
      </w:r>
      <w:r>
        <w:rPr>
          <w:rFonts w:ascii="Times New Roman" w:eastAsia="Times New Roman" w:hAnsi="Times New Roman" w:cs="Times New Roman"/>
          <w:i/>
          <w:iCs/>
          <w:color w:val="000000"/>
          <w:spacing w:val="0"/>
          <w:w w:val="100"/>
          <w:position w:val="0"/>
          <w:shd w:val="clear" w:color="auto" w:fill="auto"/>
          <w:lang w:val="en-US" w:eastAsia="en-US" w:bidi="en-US"/>
        </w:rPr>
        <w:t>Bibliotheca Graeca,</w:t>
      </w:r>
      <w:r>
        <w:rPr>
          <w:rFonts w:ascii="Times New Roman" w:eastAsia="Times New Roman" w:hAnsi="Times New Roman" w:cs="Times New Roman"/>
          <w:color w:val="000000"/>
          <w:spacing w:val="0"/>
          <w:w w:val="100"/>
          <w:position w:val="0"/>
          <w:shd w:val="clear" w:color="auto" w:fill="auto"/>
          <w:lang w:val="en-US" w:eastAsia="en-US" w:bidi="en-US"/>
        </w:rPr>
        <w:t xml:space="preserve"> ed. </w:t>
      </w:r>
      <w:r>
        <w:rPr>
          <w:rFonts w:ascii="Times New Roman" w:eastAsia="Times New Roman" w:hAnsi="Times New Roman" w:cs="Times New Roman"/>
          <w:color w:val="000000"/>
          <w:spacing w:val="0"/>
          <w:w w:val="100"/>
          <w:position w:val="0"/>
          <w:shd w:val="clear" w:color="auto" w:fill="auto"/>
          <w:lang w:val="de-DE" w:eastAsia="de-DE" w:bidi="de-DE"/>
        </w:rPr>
        <w:t xml:space="preserve">Harles, </w:t>
      </w:r>
      <w:r>
        <w:rPr>
          <w:rFonts w:ascii="Times New Roman" w:eastAsia="Times New Roman" w:hAnsi="Times New Roman" w:cs="Times New Roman"/>
          <w:color w:val="000000"/>
          <w:spacing w:val="0"/>
          <w:w w:val="100"/>
          <w:position w:val="0"/>
          <w:shd w:val="clear" w:color="auto" w:fill="auto"/>
          <w:lang w:val="en-US" w:eastAsia="en-US" w:bidi="en-US"/>
        </w:rPr>
        <w:t>iv. p. 16</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the following books:—"Theodosii Tripolitae, </w:t>
      </w:r>
      <w:r>
        <w:rPr>
          <w:rFonts w:ascii="Times New Roman" w:eastAsia="Times New Roman" w:hAnsi="Times New Roman" w:cs="Times New Roman"/>
          <w:i/>
          <w:iCs/>
          <w:color w:val="000000"/>
          <w:spacing w:val="0"/>
          <w:w w:val="100"/>
          <w:position w:val="0"/>
          <w:shd w:val="clear" w:color="auto" w:fill="auto"/>
          <w:lang w:val="en-US" w:eastAsia="en-US" w:bidi="en-US"/>
        </w:rPr>
        <w:t>Sphaericorum,</w:t>
      </w:r>
      <w:r>
        <w:rPr>
          <w:rFonts w:ascii="Times New Roman" w:eastAsia="Times New Roman" w:hAnsi="Times New Roman" w:cs="Times New Roman"/>
          <w:color w:val="000000"/>
          <w:spacing w:val="0"/>
          <w:w w:val="100"/>
          <w:position w:val="0"/>
          <w:shd w:val="clear" w:color="auto" w:fill="auto"/>
          <w:lang w:val="en-US" w:eastAsia="en-US" w:bidi="en-US"/>
        </w:rPr>
        <w:t xml:space="preserve"> libri iii.; Euclidis, </w:t>
      </w:r>
      <w:r>
        <w:rPr>
          <w:rFonts w:ascii="Times New Roman" w:eastAsia="Times New Roman" w:hAnsi="Times New Roman" w:cs="Times New Roman"/>
          <w:i/>
          <w:iCs/>
          <w:color w:val="000000"/>
          <w:spacing w:val="0"/>
          <w:w w:val="100"/>
          <w:position w:val="0"/>
          <w:shd w:val="clear" w:color="auto" w:fill="auto"/>
          <w:lang w:val="en-US" w:eastAsia="en-US" w:bidi="en-US"/>
        </w:rPr>
        <w:t>Data, Optica, Catoptrica, ac Phaenomcna;</w:t>
      </w:r>
      <w:r>
        <w:rPr>
          <w:rFonts w:ascii="Times New Roman" w:eastAsia="Times New Roman" w:hAnsi="Times New Roman" w:cs="Times New Roman"/>
          <w:color w:val="000000"/>
          <w:spacing w:val="0"/>
          <w:w w:val="100"/>
          <w:position w:val="0"/>
          <w:shd w:val="clear" w:color="auto" w:fill="auto"/>
          <w:lang w:val="en-US" w:eastAsia="en-US" w:bidi="en-US"/>
        </w:rPr>
        <w:t xml:space="preserve"> Theodosii Tripolitae, </w:t>
      </w:r>
      <w:r>
        <w:rPr>
          <w:rFonts w:ascii="Times New Roman" w:eastAsia="Times New Roman" w:hAnsi="Times New Roman" w:cs="Times New Roman"/>
          <w:i/>
          <w:iCs/>
          <w:color w:val="000000"/>
          <w:spacing w:val="0"/>
          <w:w w:val="100"/>
          <w:position w:val="0"/>
          <w:shd w:val="clear" w:color="auto" w:fill="auto"/>
          <w:lang w:val="en-US" w:eastAsia="en-US" w:bidi="en-US"/>
        </w:rPr>
        <w:t>De Habitationibus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Noctibus ac Diebus,</w:t>
      </w:r>
      <w:r>
        <w:rPr>
          <w:rFonts w:ascii="Times New Roman" w:eastAsia="Times New Roman" w:hAnsi="Times New Roman" w:cs="Times New Roman"/>
          <w:color w:val="000000"/>
          <w:spacing w:val="0"/>
          <w:w w:val="100"/>
          <w:position w:val="0"/>
          <w:shd w:val="clear" w:color="auto" w:fill="auto"/>
          <w:lang w:val="en-US" w:eastAsia="en-US" w:bidi="en-US"/>
        </w:rPr>
        <w:t xml:space="preserve"> libri ii. ; Autolyci Pitanaei, </w:t>
      </w:r>
      <w:r>
        <w:rPr>
          <w:rFonts w:ascii="Times New Roman" w:eastAsia="Times New Roman" w:hAnsi="Times New Roman" w:cs="Times New Roman"/>
          <w:i/>
          <w:iCs/>
          <w:color w:val="000000"/>
          <w:spacing w:val="0"/>
          <w:w w:val="100"/>
          <w:position w:val="0"/>
          <w:shd w:val="clear" w:color="auto" w:fill="auto"/>
          <w:lang w:val="en-US" w:eastAsia="en-US" w:bidi="en-US"/>
        </w:rPr>
        <w:t>De Sphaera Mota,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libri ii. </w:t>
      </w:r>
      <w:r>
        <w:rPr>
          <w:rFonts w:ascii="Times New Roman" w:eastAsia="Times New Roman" w:hAnsi="Times New Roman" w:cs="Times New Roman"/>
          <w:i/>
          <w:iCs/>
          <w:color w:val="000000"/>
          <w:spacing w:val="0"/>
          <w:w w:val="100"/>
          <w:position w:val="0"/>
          <w:shd w:val="clear" w:color="auto" w:fill="auto"/>
          <w:lang w:val="en-US" w:eastAsia="en-US" w:bidi="en-US"/>
        </w:rPr>
        <w:t>De Ortu atque Occasu Stellarum Inerrantium∙,</w:t>
      </w:r>
      <w:r>
        <w:rPr>
          <w:rFonts w:ascii="Times New Roman" w:eastAsia="Times New Roman" w:hAnsi="Times New Roman" w:cs="Times New Roman"/>
          <w:color w:val="000000"/>
          <w:spacing w:val="0"/>
          <w:w w:val="100"/>
          <w:position w:val="0"/>
          <w:shd w:val="clear" w:color="auto" w:fill="auto"/>
          <w:lang w:val="en-US" w:eastAsia="en-US" w:bidi="en-US"/>
        </w:rPr>
        <w:t xml:space="preserve"> Aristarchi Samii, </w:t>
      </w:r>
      <w:r>
        <w:rPr>
          <w:rFonts w:ascii="Times New Roman" w:eastAsia="Times New Roman" w:hAnsi="Times New Roman" w:cs="Times New Roman"/>
          <w:i/>
          <w:iCs/>
          <w:color w:val="000000"/>
          <w:spacing w:val="0"/>
          <w:w w:val="100"/>
          <w:position w:val="0"/>
          <w:shd w:val="clear" w:color="auto" w:fill="auto"/>
          <w:lang w:val="en-US" w:eastAsia="en-US" w:bidi="en-US"/>
        </w:rPr>
        <w:t>De Magnitudinibus ac Distanliis Solis ac Lunae;</w:t>
      </w:r>
      <w:r>
        <w:rPr>
          <w:rFonts w:ascii="Times New Roman" w:eastAsia="Times New Roman" w:hAnsi="Times New Roman" w:cs="Times New Roman"/>
          <w:color w:val="000000"/>
          <w:spacing w:val="0"/>
          <w:w w:val="100"/>
          <w:position w:val="0"/>
          <w:shd w:val="clear" w:color="auto" w:fill="auto"/>
          <w:lang w:val="en-US" w:eastAsia="en-US" w:bidi="en-US"/>
        </w:rPr>
        <w:t xml:space="preserve"> Hyρsiclis Alexandrini.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Arαφoptκ⅛i sive </w:t>
      </w:r>
      <w:r>
        <w:rPr>
          <w:rFonts w:ascii="Times New Roman" w:eastAsia="Times New Roman" w:hAnsi="Times New Roman" w:cs="Times New Roman"/>
          <w:i/>
          <w:iCs/>
          <w:color w:val="000000"/>
          <w:spacing w:val="0"/>
          <w:w w:val="100"/>
          <w:position w:val="0"/>
          <w:shd w:val="clear" w:color="auto" w:fill="auto"/>
          <w:lang w:val="en-US" w:eastAsia="en-US" w:bidi="en-US"/>
        </w:rPr>
        <w:t>De Ascensionibus;</w:t>
      </w:r>
      <w:r>
        <w:rPr>
          <w:rFonts w:ascii="Times New Roman" w:eastAsia="Times New Roman" w:hAnsi="Times New Roman" w:cs="Times New Roman"/>
          <w:color w:val="000000"/>
          <w:spacing w:val="0"/>
          <w:w w:val="100"/>
          <w:position w:val="0"/>
          <w:shd w:val="clear" w:color="auto" w:fill="auto"/>
          <w:lang w:val="en-US" w:eastAsia="en-US" w:bidi="en-US"/>
        </w:rPr>
        <w:t xml:space="preserve"> Menelai, </w:t>
      </w:r>
      <w:r>
        <w:rPr>
          <w:rFonts w:ascii="Times New Roman" w:eastAsia="Times New Roman" w:hAnsi="Times New Roman" w:cs="Times New Roman"/>
          <w:i/>
          <w:iCs/>
          <w:color w:val="000000"/>
          <w:spacing w:val="0"/>
          <w:w w:val="100"/>
          <w:position w:val="0"/>
          <w:shd w:val="clear" w:color="auto" w:fill="auto"/>
          <w:lang w:val="en-US" w:eastAsia="en-US" w:bidi="en-US"/>
        </w:rPr>
        <w:t>Sphaericorum,</w:t>
      </w:r>
      <w:r>
        <w:rPr>
          <w:rFonts w:ascii="Times New Roman" w:eastAsia="Times New Roman" w:hAnsi="Times New Roman" w:cs="Times New Roman"/>
          <w:color w:val="000000"/>
          <w:spacing w:val="0"/>
          <w:w w:val="100"/>
          <w:position w:val="0"/>
          <w:shd w:val="clear" w:color="auto" w:fill="auto"/>
          <w:lang w:val="en-US" w:eastAsia="en-US" w:bidi="en-US"/>
        </w:rPr>
        <w:t xml:space="preserve"> libri iii.” Euclid’s </w:t>
      </w:r>
      <w:r>
        <w:rPr>
          <w:rFonts w:ascii="Times New Roman" w:eastAsia="Times New Roman" w:hAnsi="Times New Roman" w:cs="Times New Roman"/>
          <w:i/>
          <w:iCs/>
          <w:color w:val="000000"/>
          <w:spacing w:val="0"/>
          <w:w w:val="100"/>
          <w:position w:val="0"/>
          <w:shd w:val="clear" w:color="auto" w:fill="auto"/>
          <w:lang w:val="en-US" w:eastAsia="en-US" w:bidi="en-US"/>
        </w:rPr>
        <w:t>Data</w:t>
      </w:r>
      <w:r>
        <w:rPr>
          <w:rFonts w:ascii="Times New Roman" w:eastAsia="Times New Roman" w:hAnsi="Times New Roman" w:cs="Times New Roman"/>
          <w:color w:val="000000"/>
          <w:spacing w:val="0"/>
          <w:w w:val="100"/>
          <w:position w:val="0"/>
          <w:shd w:val="clear" w:color="auto" w:fill="auto"/>
          <w:lang w:val="en-US" w:eastAsia="en-US" w:bidi="en-US"/>
        </w:rPr>
        <w:t xml:space="preserve"> is, however, wrongly included, for Pappus, vii., makes it part of analysis (6 4ι∙αλι⅛μ&lt;poι τ⅛os).</w:t>
      </w:r>
    </w:p>
    <w:sectPr>
      <w:footnotePr>
        <w:pos w:val="pageBottom"/>
        <w:numFmt w:val="decimal"/>
        <w:numRestart w:val="continuous"/>
      </w:footnotePr>
      <w:pgSz w:w="12240" w:h="15840"/>
      <w:pgMar w:top="1150" w:left="948" w:right="890" w:bottom="3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6)_"/>
    <w:basedOn w:val="DefaultParagraphFont"/>
    <w:link w:val="Style6"/>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Body text (6)"/>
    <w:basedOn w:val="Normal"/>
    <w:link w:val="CharStyle7"/>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