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theory of how the Christian salvation is conveyed through sacraments to sinful men. On the other hand, a theology which is mainly sacramental is overtaken pretty soon by dumbness. It is of the essence of a sacrament </w:t>
      </w:r>
      <w:r>
        <w:rPr>
          <w:color w:val="000000"/>
          <w:spacing w:val="0"/>
          <w:w w:val="100"/>
          <w:position w:val="0"/>
          <w:shd w:val="clear" w:color="auto" w:fill="auto"/>
          <w:lang w:val="en-US" w:eastAsia="en-US" w:bidi="en-US"/>
        </w:rPr>
        <w:t xml:space="preserve">to be </w:t>
      </w:r>
      <w:r>
        <w:rPr>
          <w:color w:val="000000"/>
          <w:spacing w:val="0"/>
          <w:w w:val="100"/>
          <w:position w:val="0"/>
          <w:shd w:val="clear" w:color="auto" w:fill="auto"/>
          <w:lang w:val="en-US" w:eastAsia="en-US" w:bidi="en-US"/>
        </w:rPr>
        <w:t>an inscrutable process.</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Theories of legal merit, amount of debt, supererogatory </w:t>
      </w:r>
      <w:r>
        <w:rPr>
          <w:rFonts w:ascii="Times New Roman" w:eastAsia="Times New Roman" w:hAnsi="Times New Roman" w:cs="Times New Roman"/>
          <w:color w:val="000000"/>
          <w:spacing w:val="0"/>
          <w:w w:val="100"/>
          <w:position w:val="0"/>
          <w:shd w:val="clear" w:color="auto" w:fill="auto"/>
          <w:lang w:val="en-US" w:eastAsia="en-US" w:bidi="en-US"/>
        </w:rPr>
        <w:t>good</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ness, and ascetic claim—representing the aspect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Catholicism as law—are more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more worked </w:t>
      </w:r>
      <w:r>
        <w:rPr>
          <w:rFonts w:ascii="Times New Roman" w:eastAsia="Times New Roman" w:hAnsi="Times New Roman" w:cs="Times New Roman"/>
          <w:color w:val="000000"/>
          <w:spacing w:val="0"/>
          <w:w w:val="100"/>
          <w:position w:val="0"/>
          <w:shd w:val="clear" w:color="auto" w:fill="auto"/>
          <w:lang w:val="en-US" w:eastAsia="en-US" w:bidi="en-US"/>
        </w:rPr>
        <w:t xml:space="preserve">out. The </w:t>
      </w:r>
      <w:r>
        <w:rPr>
          <w:rFonts w:ascii="Times New Roman" w:eastAsia="Times New Roman" w:hAnsi="Times New Roman" w:cs="Times New Roman"/>
          <w:color w:val="000000"/>
          <w:spacing w:val="0"/>
          <w:w w:val="100"/>
          <w:position w:val="0"/>
          <w:shd w:val="clear" w:color="auto" w:fill="auto"/>
          <w:lang w:val="en-US" w:eastAsia="en-US" w:bidi="en-US"/>
        </w:rPr>
        <w:t xml:space="preserve">occasion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formal separation of East and West—the </w:t>
      </w:r>
      <w:r>
        <w:rPr>
          <w:rFonts w:ascii="Times New Roman" w:eastAsia="Times New Roman" w:hAnsi="Times New Roman" w:cs="Times New Roman"/>
          <w:color w:val="000000"/>
          <w:spacing w:val="0"/>
          <w:w w:val="100"/>
          <w:position w:val="0"/>
          <w:shd w:val="clear" w:color="auto" w:fill="auto"/>
          <w:lang w:val="en-US" w:eastAsia="en-US" w:bidi="en-US"/>
        </w:rPr>
        <w:t xml:space="preserve">Western doctrine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twofold “ </w:t>
      </w:r>
      <w:r>
        <w:rPr>
          <w:rFonts w:ascii="Times New Roman" w:eastAsia="Times New Roman" w:hAnsi="Times New Roman" w:cs="Times New Roman"/>
          <w:color w:val="000000"/>
          <w:spacing w:val="0"/>
          <w:w w:val="100"/>
          <w:position w:val="0"/>
          <w:shd w:val="clear" w:color="auto" w:fill="auto"/>
          <w:lang w:val="en-US" w:eastAsia="en-US" w:bidi="en-US"/>
        </w:rPr>
        <w:t xml:space="preserve">procession"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Holy Spirit, incorporated in </w:t>
      </w:r>
      <w:r>
        <w:rPr>
          <w:rFonts w:ascii="Times New Roman" w:eastAsia="Times New Roman" w:hAnsi="Times New Roman" w:cs="Times New Roman"/>
          <w:color w:val="000000"/>
          <w:spacing w:val="0"/>
          <w:w w:val="100"/>
          <w:position w:val="0"/>
          <w:shd w:val="clear" w:color="auto" w:fill="auto"/>
          <w:lang w:val="en-US" w:eastAsia="en-US" w:bidi="en-US"/>
        </w:rPr>
        <w:t xml:space="preserve">the (so-called Nicene) </w:t>
      </w:r>
      <w:r>
        <w:rPr>
          <w:rFonts w:ascii="Times New Roman" w:eastAsia="Times New Roman" w:hAnsi="Times New Roman" w:cs="Times New Roman"/>
          <w:color w:val="000000"/>
          <w:spacing w:val="0"/>
          <w:w w:val="100"/>
          <w:position w:val="0"/>
          <w:shd w:val="clear" w:color="auto" w:fill="auto"/>
          <w:lang w:val="en-US" w:eastAsia="en-US" w:bidi="en-US"/>
        </w:rPr>
        <w:t>creed itself (“ filioque</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of little or no </w:t>
      </w:r>
      <w:r>
        <w:rPr>
          <w:rFonts w:ascii="Times New Roman" w:eastAsia="Times New Roman" w:hAnsi="Times New Roman" w:cs="Times New Roman"/>
          <w:color w:val="000000"/>
          <w:spacing w:val="0"/>
          <w:w w:val="100"/>
          <w:position w:val="0"/>
          <w:shd w:val="clear" w:color="auto" w:fill="auto"/>
          <w:lang w:val="en-US" w:eastAsia="en-US" w:bidi="en-US"/>
        </w:rPr>
        <w:t xml:space="preserve">real theological importance. </w:t>
      </w:r>
      <w:r>
        <w:rPr>
          <w:rFonts w:ascii="Times New Roman" w:eastAsia="Times New Roman" w:hAnsi="Times New Roman" w:cs="Times New Roman"/>
          <w:color w:val="000000"/>
          <w:spacing w:val="0"/>
          <w:w w:val="100"/>
          <w:position w:val="0"/>
          <w:shd w:val="clear" w:color="auto" w:fill="auto"/>
          <w:lang w:val="en-US" w:eastAsia="en-US" w:bidi="en-US"/>
        </w:rPr>
        <w:t xml:space="preserve">The schism was due to race rivalries, </w:t>
      </w:r>
      <w:r>
        <w:rPr>
          <w:rFonts w:ascii="Times New Roman" w:eastAsia="Times New Roman" w:hAnsi="Times New Roman" w:cs="Times New Roman"/>
          <w:color w:val="000000"/>
          <w:spacing w:val="0"/>
          <w:w w:val="100"/>
          <w:position w:val="0"/>
          <w:shd w:val="clear" w:color="auto" w:fill="auto"/>
          <w:lang w:val="en-US" w:eastAsia="en-US" w:bidi="en-US"/>
        </w:rPr>
        <w:t xml:space="preserve">and to dislike for the ever-growing </w:t>
      </w:r>
      <w:r>
        <w:rPr>
          <w:rFonts w:ascii="Times New Roman" w:eastAsia="Times New Roman" w:hAnsi="Times New Roman" w:cs="Times New Roman"/>
          <w:color w:val="000000"/>
          <w:spacing w:val="0"/>
          <w:w w:val="100"/>
          <w:position w:val="0"/>
          <w:shd w:val="clear" w:color="auto" w:fill="auto"/>
          <w:lang w:val="en-US" w:eastAsia="en-US" w:bidi="en-US"/>
        </w:rPr>
        <w:t>claims of the see of Rome.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An </w:t>
      </w:r>
      <w:r>
        <w:rPr>
          <w:color w:val="000000"/>
          <w:spacing w:val="0"/>
          <w:w w:val="100"/>
          <w:position w:val="0"/>
          <w:shd w:val="clear" w:color="auto" w:fill="auto"/>
          <w:lang w:val="en-US" w:eastAsia="en-US" w:bidi="en-US"/>
        </w:rPr>
        <w:t xml:space="preserve">important contribution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doctrine is contained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Deus Homo</w:t>
      </w:r>
      <w:r>
        <w:rPr>
          <w:color w:val="000000"/>
          <w:spacing w:val="0"/>
          <w:w w:val="100"/>
          <w:position w:val="0"/>
          <w:shd w:val="clear" w:color="auto" w:fill="auto"/>
          <w:lang w:val="en-US" w:eastAsia="en-US" w:bidi="en-US"/>
        </w:rPr>
        <w:t xml:space="preserve"> of Anselm of Canterbury. The doctrine of Atonement, destined to be the focus of Protestant evangelicalism, has remained undefined in Catholic circles,@@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 implicate or presupposition, but </w:t>
      </w:r>
      <w:r>
        <w:rPr>
          <w:color w:val="000000"/>
          <w:spacing w:val="0"/>
          <w:w w:val="100"/>
          <w:position w:val="0"/>
          <w:shd w:val="clear" w:color="auto" w:fill="auto"/>
          <w:lang w:val="en-US" w:eastAsia="en-US" w:bidi="en-US"/>
        </w:rPr>
        <w:t xml:space="preserve">no </w:t>
      </w:r>
      <w:r>
        <w:rPr>
          <w:color w:val="000000"/>
          <w:spacing w:val="0"/>
          <w:w w:val="100"/>
          <w:position w:val="0"/>
          <w:shd w:val="clear" w:color="auto" w:fill="auto"/>
          <w:lang w:val="en-US" w:eastAsia="en-US" w:bidi="en-US"/>
        </w:rPr>
        <w:t xml:space="preserve">part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explicit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authorized creeds. When treated in the early centuries, it was frequently explained by saying that Christ’s sufferings bought off the devil’s claim to sinful man, and some of the greatest theologians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color w:val="000000"/>
          <w:spacing w:val="0"/>
          <w:w w:val="100"/>
          <w:position w:val="0"/>
          <w:shd w:val="clear" w:color="auto" w:fill="auto"/>
          <w:lang w:val="en-US" w:eastAsia="en-US" w:bidi="en-US"/>
        </w:rPr>
        <w:t xml:space="preserve"> Gregory of Nyssa) added </w:t>
      </w:r>
      <w:r>
        <w:rPr>
          <w:color w:val="000000"/>
          <w:spacing w:val="0"/>
          <w:w w:val="100"/>
          <w:position w:val="0"/>
          <w:shd w:val="clear" w:color="auto" w:fill="auto"/>
          <w:lang w:val="en-US" w:eastAsia="en-US" w:bidi="en-US"/>
        </w:rPr>
        <w:t xml:space="preserve">that </w:t>
      </w:r>
      <w:r>
        <w:rPr>
          <w:color w:val="000000"/>
          <w:spacing w:val="0"/>
          <w:w w:val="100"/>
          <w:position w:val="0"/>
          <w:shd w:val="clear" w:color="auto" w:fill="auto"/>
          <w:lang w:val="en-US" w:eastAsia="en-US" w:bidi="en-US"/>
        </w:rPr>
        <w:t xml:space="preserve">the devil was finely outwitted—attracted by the bait of Christ’s humanity, but caught by the hidden hook of His </w:t>
      </w:r>
      <w:r>
        <w:rPr>
          <w:color w:val="000000"/>
          <w:spacing w:val="0"/>
          <w:w w:val="100"/>
          <w:position w:val="0"/>
          <w:shd w:val="clear" w:color="auto" w:fill="auto"/>
          <w:lang w:val="en-US" w:eastAsia="en-US" w:bidi="en-US"/>
        </w:rPr>
        <w:t xml:space="preserve">divinity. </w:t>
      </w:r>
      <w:r>
        <w:rPr>
          <w:color w:val="000000"/>
          <w:spacing w:val="0"/>
          <w:w w:val="100"/>
          <w:position w:val="0"/>
          <w:shd w:val="clear" w:color="auto" w:fill="auto"/>
          <w:lang w:val="en-US" w:eastAsia="en-US" w:bidi="en-US"/>
        </w:rPr>
        <w:t>Anselm holds that it was best for the injured honour of God to receive from a substitute what the sinner was per</w:t>
        <w:softHyphen/>
        <w:t xml:space="preserve">sonally in no condition to offer. Whatever other elements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suggestions are present, the atmosphere of the medieval world, and its sense of personal claims, are unmistakable. With Anselm Ritschl takes Abelard, who explains the Atonement simply by God’s love, and thus is the forerunner of “ moral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or “ subjective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modern theories as Anselm is of the “ ob</w:t>
        <w:softHyphen/>
        <w:t>jective ” or “ forensic ” theory. It must be admitted, however, that there is less definiteness of outline in Abelard than in Anselm. He does not even deal with the doctrine as a specialist, in a monograph, but only as an exegete.</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Contemporaneously with the new and vivid intellectual life of an Anselm or an Abelard, the “ freezing up ” of traditionalism is evidenced by the preparation of volumes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Sentences</w:t>
      </w:r>
      <w:r>
        <w:rPr>
          <w:rFonts w:ascii="Times New Roman" w:eastAsia="Times New Roman" w:hAnsi="Times New Roman" w:cs="Times New Roman"/>
          <w:color w:val="000000"/>
          <w:spacing w:val="0"/>
          <w:w w:val="100"/>
          <w:position w:val="0"/>
          <w:shd w:val="clear" w:color="auto" w:fill="auto"/>
          <w:lang w:val="en-US" w:eastAsia="en-US" w:bidi="en-US"/>
        </w:rPr>
        <w:t xml:space="preserve"> from Scripture and the Fathers. One of the earliest of such collections is that of Isidore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of Seville (560-636), who, from this and other writings, ranks among the few channels which conveyed ancient learning to the middle ages.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Sentences</w:t>
      </w:r>
      <w:r>
        <w:rPr>
          <w:rFonts w:ascii="Times New Roman" w:eastAsia="Times New Roman" w:hAnsi="Times New Roman" w:cs="Times New Roman"/>
          <w:color w:val="000000"/>
          <w:spacing w:val="0"/>
          <w:w w:val="100"/>
          <w:position w:val="0"/>
          <w:shd w:val="clear" w:color="auto" w:fill="auto"/>
          <w:lang w:val="en-US" w:eastAsia="en-US" w:bidi="en-US"/>
        </w:rPr>
        <w:t xml:space="preserve"> are selected almost (though not quite) exclusively from Augustine and Gregory the Great. Direct influence from the Greek Fathers upon the West is vanishing as the Greek language is forgotten. The great outburst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Sentences</w:t>
      </w:r>
      <w:r>
        <w:rPr>
          <w:rFonts w:ascii="Times New Roman" w:eastAsia="Times New Roman" w:hAnsi="Times New Roman" w:cs="Times New Roman"/>
          <w:color w:val="000000"/>
          <w:spacing w:val="0"/>
          <w:w w:val="100"/>
          <w:position w:val="0"/>
          <w:shd w:val="clear" w:color="auto" w:fill="auto"/>
          <w:lang w:val="en-US" w:eastAsia="en-US" w:bidi="en-US"/>
        </w:rPr>
        <w:t xml:space="preserve"> at a later time has been referred to the consternation produced by Abelard’s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Sic et Non.</w:t>
      </w:r>
      <w:r>
        <w:rPr>
          <w:rFonts w:ascii="Times New Roman" w:eastAsia="Times New Roman" w:hAnsi="Times New Roman" w:cs="Times New Roman"/>
          <w:color w:val="000000"/>
          <w:spacing w:val="0"/>
          <w:w w:val="100"/>
          <w:position w:val="0"/>
          <w:shd w:val="clear" w:color="auto" w:fill="auto"/>
          <w:lang w:val="en-US" w:eastAsia="en-US" w:bidi="en-US"/>
        </w:rPr>
        <w:t xml:space="preserve"> The modern reader can hardly banish the impression that Abelard writes in a spirit of sheer mischief. Probably it would be truer to say that he riots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pleasures of discussion, and in setting tasks to other irresponsible and ingenious spirits. He does not fear to contrast authority with authority, upon each point in succession; the harder the task, the greater the achievement when harmony is reached!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regard to Scripture alone does he maintain that seeming error or discrepancy must be due to our misinterpreta</w:t>
        <w:softHyphen/>
        <w:t xml:space="preserve">tion. If throughout the middle ages Scripture is treated as the ultimate authority in doctrine, yet Abelard seems to stand alone in definitely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contrasting</w:t>
      </w:r>
      <w:r>
        <w:rPr>
          <w:rFonts w:ascii="Times New Roman" w:eastAsia="Times New Roman" w:hAnsi="Times New Roman" w:cs="Times New Roman"/>
          <w:color w:val="000000"/>
          <w:spacing w:val="0"/>
          <w:w w:val="100"/>
          <w:position w:val="0"/>
          <w:shd w:val="clear" w:color="auto" w:fill="auto"/>
          <w:lang w:val="en-US" w:eastAsia="en-US" w:bidi="en-US"/>
        </w:rPr>
        <w:t xml:space="preserve"> Scripture with later authorities. Moderns will question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possibility of asserting Bible infallibility a priori; but it </w:t>
      </w:r>
      <w:r>
        <w:rPr>
          <w:rFonts w:ascii="Times New Roman" w:eastAsia="Times New Roman" w:hAnsi="Times New Roman" w:cs="Times New Roman"/>
          <w:color w:val="000000"/>
          <w:spacing w:val="0"/>
          <w:w w:val="100"/>
          <w:position w:val="0"/>
          <w:shd w:val="clear" w:color="auto" w:fill="auto"/>
          <w:lang w:val="en-US" w:eastAsia="en-US" w:bidi="en-US"/>
        </w:rPr>
        <w:t xml:space="preserve">is more really </w:t>
      </w:r>
      <w:r>
        <w:rPr>
          <w:rFonts w:ascii="Times New Roman" w:eastAsia="Times New Roman" w:hAnsi="Times New Roman" w:cs="Times New Roman"/>
          <w:color w:val="000000"/>
          <w:spacing w:val="0"/>
          <w:w w:val="100"/>
          <w:position w:val="0"/>
          <w:shd w:val="clear" w:color="auto" w:fill="auto"/>
          <w:lang w:val="en-US" w:eastAsia="en-US" w:bidi="en-US"/>
        </w:rPr>
        <w:t xml:space="preserve">startling and noteworthy that Abelard should 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living sense of fallibility outside the Bible.</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many great collections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Sentences,</w:t>
      </w:r>
      <w:r>
        <w:rPr>
          <w:rFonts w:ascii="Times New Roman" w:eastAsia="Times New Roman" w:hAnsi="Times New Roman" w:cs="Times New Roman"/>
          <w:color w:val="000000"/>
          <w:spacing w:val="0"/>
          <w:w w:val="100"/>
          <w:position w:val="0"/>
          <w:shd w:val="clear" w:color="auto" w:fill="auto"/>
          <w:lang w:val="en-US" w:eastAsia="en-US" w:bidi="en-US"/>
        </w:rPr>
        <w:t xml:space="preserve"> notably by Hugh of St Victor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Peter Lombard. The last-named—though with </w:t>
      </w:r>
      <w:r>
        <w:rPr>
          <w:rFonts w:ascii="Times New Roman" w:eastAsia="Times New Roman" w:hAnsi="Times New Roman" w:cs="Times New Roman"/>
          <w:color w:val="000000"/>
          <w:spacing w:val="0"/>
          <w:w w:val="100"/>
          <w:position w:val="0"/>
          <w:shd w:val="clear" w:color="auto" w:fill="auto"/>
          <w:lang w:val="en-US" w:eastAsia="en-US" w:bidi="en-US"/>
        </w:rPr>
        <w:t xml:space="preserve">more continuity </w:t>
      </w:r>
      <w:r>
        <w:rPr>
          <w:rFonts w:ascii="Times New Roman" w:eastAsia="Times New Roman" w:hAnsi="Times New Roman" w:cs="Times New Roman"/>
          <w:color w:val="000000"/>
          <w:spacing w:val="0"/>
          <w:w w:val="100"/>
          <w:position w:val="0"/>
          <w:shd w:val="clear" w:color="auto" w:fill="auto"/>
          <w:lang w:val="en-US" w:eastAsia="en-US" w:bidi="en-US"/>
        </w:rPr>
        <w:t>of texture than Isidore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quotes largely from the Bible and </w:t>
      </w:r>
      <w:r>
        <w:rPr>
          <w:rFonts w:ascii="Times New Roman" w:eastAsia="Times New Roman" w:hAnsi="Times New Roman" w:cs="Times New Roman"/>
          <w:color w:val="000000"/>
          <w:spacing w:val="0"/>
          <w:w w:val="100"/>
          <w:position w:val="0"/>
          <w:shd w:val="clear" w:color="auto" w:fill="auto"/>
          <w:lang w:val="en-US" w:eastAsia="en-US" w:bidi="en-US"/>
        </w:rPr>
        <w:t xml:space="preserve">the Latin </w:t>
      </w:r>
      <w:r>
        <w:rPr>
          <w:rFonts w:ascii="Times New Roman" w:eastAsia="Times New Roman" w:hAnsi="Times New Roman" w:cs="Times New Roman"/>
          <w:color w:val="000000"/>
          <w:spacing w:val="0"/>
          <w:w w:val="100"/>
          <w:position w:val="0"/>
          <w:shd w:val="clear" w:color="auto" w:fill="auto"/>
          <w:lang w:val="en-US" w:eastAsia="en-US" w:bidi="en-US"/>
        </w:rPr>
        <w:t>Fathers. If Abelard stands for the intel</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lectual daring of </w:t>
      </w:r>
      <w:r>
        <w:rPr>
          <w:rFonts w:ascii="Times New Roman" w:eastAsia="Times New Roman" w:hAnsi="Times New Roman" w:cs="Times New Roman"/>
          <w:color w:val="000000"/>
          <w:spacing w:val="0"/>
          <w:w w:val="100"/>
          <w:position w:val="0"/>
          <w:shd w:val="clear" w:color="auto" w:fill="auto"/>
          <w:lang w:val="en-US" w:eastAsia="en-US" w:bidi="en-US"/>
        </w:rPr>
        <w:t xml:space="preserve">scholasticism, Lombard represents its other pole </w:t>
      </w:r>
      <w:r>
        <w:rPr>
          <w:rFonts w:ascii="Times New Roman" w:eastAsia="Times New Roman" w:hAnsi="Times New Roman" w:cs="Times New Roman"/>
          <w:color w:val="000000"/>
          <w:spacing w:val="0"/>
          <w:w w:val="100"/>
          <w:position w:val="0"/>
          <w:shd w:val="clear" w:color="auto" w:fill="auto"/>
          <w:lang w:val="en-US" w:eastAsia="en-US" w:bidi="en-US"/>
        </w:rPr>
        <w:t xml:space="preserve">—interest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piety,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in the </w:t>
      </w:r>
      <w:r>
        <w:rPr>
          <w:rFonts w:ascii="Times New Roman" w:eastAsia="Times New Roman" w:hAnsi="Times New Roman" w:cs="Times New Roman"/>
          <w:color w:val="000000"/>
          <w:spacing w:val="0"/>
          <w:w w:val="100"/>
          <w:position w:val="0"/>
          <w:shd w:val="clear" w:color="auto" w:fill="auto"/>
          <w:lang w:val="en-US" w:eastAsia="en-US" w:bidi="en-US"/>
        </w:rPr>
        <w:t xml:space="preserve">Church. He is almost timidly </w:t>
      </w:r>
      <w:r>
        <w:rPr>
          <w:rFonts w:ascii="Times New Roman" w:eastAsia="Times New Roman" w:hAnsi="Times New Roman" w:cs="Times New Roman"/>
          <w:color w:val="000000"/>
          <w:spacing w:val="0"/>
          <w:w w:val="100"/>
          <w:position w:val="0"/>
          <w:shd w:val="clear" w:color="auto" w:fill="auto"/>
          <w:lang w:val="en-US" w:eastAsia="en-US" w:bidi="en-US"/>
        </w:rPr>
        <w:t xml:space="preserve">cautious. He </w:t>
      </w:r>
      <w:r>
        <w:rPr>
          <w:rFonts w:ascii="Times New Roman" w:eastAsia="Times New Roman" w:hAnsi="Times New Roman" w:cs="Times New Roman"/>
          <w:color w:val="000000"/>
          <w:spacing w:val="0"/>
          <w:w w:val="100"/>
          <w:position w:val="0"/>
          <w:shd w:val="clear" w:color="auto" w:fill="auto"/>
          <w:lang w:val="en-US" w:eastAsia="en-US" w:bidi="en-US"/>
        </w:rPr>
        <w:t xml:space="preserve">does </w:t>
      </w:r>
      <w:r>
        <w:rPr>
          <w:rFonts w:ascii="Times New Roman" w:eastAsia="Times New Roman" w:hAnsi="Times New Roman" w:cs="Times New Roman"/>
          <w:color w:val="000000"/>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open up difficulties like Abelard, but </w:t>
      </w:r>
      <w:r>
        <w:rPr>
          <w:rFonts w:ascii="Times New Roman" w:eastAsia="Times New Roman" w:hAnsi="Times New Roman" w:cs="Times New Roman"/>
          <w:color w:val="000000"/>
          <w:spacing w:val="0"/>
          <w:w w:val="100"/>
          <w:position w:val="0"/>
          <w:shd w:val="clear" w:color="auto" w:fill="auto"/>
          <w:lang w:val="en-US" w:eastAsia="en-US" w:bidi="en-US"/>
        </w:rPr>
        <w:t xml:space="preserve">smoothes them over. This </w:t>
      </w:r>
      <w:r>
        <w:rPr>
          <w:rFonts w:ascii="Times New Roman" w:eastAsia="Times New Roman" w:hAnsi="Times New Roman" w:cs="Times New Roman"/>
          <w:color w:val="000000"/>
          <w:spacing w:val="0"/>
          <w:w w:val="100"/>
          <w:position w:val="0"/>
          <w:shd w:val="clear" w:color="auto" w:fill="auto"/>
          <w:lang w:val="en-US" w:eastAsia="en-US" w:bidi="en-US"/>
        </w:rPr>
        <w:t xml:space="preserve">suits the coming age. The great </w:t>
      </w:r>
      <w:r>
        <w:rPr>
          <w:rFonts w:ascii="Times New Roman" w:eastAsia="Times New Roman" w:hAnsi="Times New Roman" w:cs="Times New Roman"/>
          <w:color w:val="000000"/>
          <w:spacing w:val="0"/>
          <w:w w:val="100"/>
          <w:position w:val="0"/>
          <w:shd w:val="clear" w:color="auto" w:fill="auto"/>
          <w:lang w:val="en-US" w:eastAsia="en-US" w:bidi="en-US"/>
        </w:rPr>
        <w:t xml:space="preserve">writers of the early centuries were </w:t>
      </w:r>
      <w:r>
        <w:rPr>
          <w:rFonts w:ascii="Times New Roman" w:eastAsia="Times New Roman" w:hAnsi="Times New Roman" w:cs="Times New Roman"/>
          <w:color w:val="000000"/>
          <w:spacing w:val="0"/>
          <w:w w:val="100"/>
          <w:position w:val="0"/>
          <w:shd w:val="clear" w:color="auto" w:fill="auto"/>
          <w:lang w:val="en-US" w:eastAsia="en-US" w:bidi="en-US"/>
        </w:rPr>
        <w:t xml:space="preserve">to tell on men’s minds not in </w:t>
      </w:r>
      <w:r>
        <w:rPr>
          <w:rFonts w:ascii="Times New Roman" w:eastAsia="Times New Roman" w:hAnsi="Times New Roman" w:cs="Times New Roman"/>
          <w:color w:val="000000"/>
          <w:spacing w:val="0"/>
          <w:w w:val="100"/>
          <w:position w:val="0"/>
          <w:shd w:val="clear" w:color="auto" w:fill="auto"/>
          <w:lang w:val="en-US" w:eastAsia="en-US" w:bidi="en-US"/>
        </w:rPr>
        <w:t xml:space="preserve">the breadth of their treatment </w:t>
      </w:r>
      <w:r>
        <w:rPr>
          <w:rFonts w:ascii="Times New Roman" w:eastAsia="Times New Roman" w:hAnsi="Times New Roman" w:cs="Times New Roman"/>
          <w:color w:val="000000"/>
          <w:spacing w:val="0"/>
          <w:w w:val="100"/>
          <w:position w:val="0"/>
          <w:shd w:val="clear" w:color="auto" w:fill="auto"/>
          <w:lang w:val="en-US" w:eastAsia="en-US" w:bidi="en-US"/>
        </w:rPr>
        <w:t xml:space="preserve">but in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theological pemmican. </w:t>
      </w:r>
      <w:r>
        <w:rPr>
          <w:rFonts w:ascii="Times New Roman" w:eastAsia="Times New Roman" w:hAnsi="Times New Roman" w:cs="Times New Roman"/>
          <w:color w:val="000000"/>
          <w:spacing w:val="0"/>
          <w:w w:val="100"/>
          <w:position w:val="0"/>
          <w:shd w:val="clear" w:color="auto" w:fill="auto"/>
          <w:lang w:val="en-US" w:eastAsia="en-US" w:bidi="en-US"/>
        </w:rPr>
        <w:t xml:space="preserve">And the characteristic task for </w:t>
      </w:r>
      <w:r>
        <w:rPr>
          <w:rFonts w:ascii="Times New Roman" w:eastAsia="Times New Roman" w:hAnsi="Times New Roman" w:cs="Times New Roman"/>
          <w:color w:val="000000"/>
          <w:spacing w:val="0"/>
          <w:w w:val="100"/>
          <w:position w:val="0"/>
          <w:shd w:val="clear" w:color="auto" w:fill="auto"/>
          <w:lang w:val="en-US" w:eastAsia="en-US" w:bidi="en-US"/>
        </w:rPr>
        <w:t xml:space="preserve">living </w:t>
      </w:r>
      <w:r>
        <w:rPr>
          <w:rFonts w:ascii="Times New Roman" w:eastAsia="Times New Roman" w:hAnsi="Times New Roman" w:cs="Times New Roman"/>
          <w:color w:val="000000"/>
          <w:spacing w:val="0"/>
          <w:w w:val="100"/>
          <w:position w:val="0"/>
          <w:shd w:val="clear" w:color="auto" w:fill="auto"/>
          <w:lang w:val="en-US" w:eastAsia="en-US" w:bidi="en-US"/>
        </w:rPr>
        <w:t xml:space="preserve">theologians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consist in </w:t>
      </w:r>
      <w:r>
        <w:rPr>
          <w:rFonts w:ascii="Times New Roman" w:eastAsia="Times New Roman" w:hAnsi="Times New Roman" w:cs="Times New Roman"/>
          <w:color w:val="000000"/>
          <w:spacing w:val="0"/>
          <w:w w:val="100"/>
          <w:position w:val="0"/>
          <w:shd w:val="clear" w:color="auto" w:fill="auto"/>
          <w:lang w:val="en-US" w:eastAsia="en-US" w:bidi="en-US"/>
        </w:rPr>
        <w:t xml:space="preserve">writing commentaries on the Lombard’s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Sentences;</w:t>
      </w:r>
      <w:r>
        <w:rPr>
          <w:rFonts w:ascii="Times New Roman" w:eastAsia="Times New Roman" w:hAnsi="Times New Roman" w:cs="Times New Roman"/>
          <w:color w:val="000000"/>
          <w:spacing w:val="0"/>
          <w:w w:val="100"/>
          <w:position w:val="0"/>
          <w:shd w:val="clear" w:color="auto" w:fill="auto"/>
          <w:lang w:val="en-US" w:eastAsia="en-US" w:bidi="en-US"/>
        </w:rPr>
        <w:t xml:space="preserve"> for a time </w:t>
      </w:r>
      <w:r>
        <w:rPr>
          <w:rFonts w:ascii="Times New Roman" w:eastAsia="Times New Roman" w:hAnsi="Times New Roman" w:cs="Times New Roman"/>
          <w:color w:val="000000"/>
          <w:spacing w:val="0"/>
          <w:w w:val="100"/>
          <w:position w:val="0"/>
          <w:shd w:val="clear" w:color="auto" w:fill="auto"/>
          <w:lang w:val="en-US" w:eastAsia="en-US" w:bidi="en-US"/>
        </w:rPr>
        <w:t xml:space="preserve">these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Sentences</w:t>
      </w:r>
      <w:r>
        <w:rPr>
          <w:rFonts w:ascii="Times New Roman" w:eastAsia="Times New Roman" w:hAnsi="Times New Roman" w:cs="Times New Roman"/>
          <w:color w:val="000000"/>
          <w:spacing w:val="0"/>
          <w:w w:val="100"/>
          <w:position w:val="0"/>
          <w:shd w:val="clear" w:color="auto" w:fill="auto"/>
          <w:lang w:val="en-US" w:eastAsia="en-US" w:bidi="en-US"/>
        </w:rPr>
        <w:t xml:space="preserve"> themselves had </w:t>
      </w:r>
      <w:r>
        <w:rPr>
          <w:rFonts w:ascii="Times New Roman" w:eastAsia="Times New Roman" w:hAnsi="Times New Roman" w:cs="Times New Roman"/>
          <w:color w:val="000000"/>
          <w:spacing w:val="0"/>
          <w:w w:val="100"/>
          <w:position w:val="0"/>
          <w:shd w:val="clear" w:color="auto" w:fill="auto"/>
          <w:lang w:val="en-US" w:eastAsia="en-US" w:bidi="en-US"/>
        </w:rPr>
        <w:t xml:space="preserve">been </w:t>
      </w:r>
      <w:r>
        <w:rPr>
          <w:rFonts w:ascii="Times New Roman" w:eastAsia="Times New Roman" w:hAnsi="Times New Roman" w:cs="Times New Roman"/>
          <w:color w:val="000000"/>
          <w:spacing w:val="0"/>
          <w:w w:val="100"/>
          <w:position w:val="0"/>
          <w:shd w:val="clear" w:color="auto" w:fill="auto"/>
          <w:lang w:val="en-US" w:eastAsia="en-US" w:bidi="en-US"/>
        </w:rPr>
        <w:t xml:space="preserve">suspected, </w:t>
      </w:r>
      <w:r>
        <w:rPr>
          <w:rFonts w:ascii="Times New Roman" w:eastAsia="Times New Roman" w:hAnsi="Times New Roman" w:cs="Times New Roman"/>
          <w:color w:val="000000"/>
          <w:spacing w:val="0"/>
          <w:w w:val="100"/>
          <w:position w:val="0"/>
          <w:shd w:val="clear" w:color="auto" w:fill="auto"/>
          <w:lang w:val="en-US" w:eastAsia="en-US" w:bidi="en-US"/>
        </w:rPr>
        <w:t xml:space="preserve">but they </w:t>
      </w:r>
      <w:r>
        <w:rPr>
          <w:rFonts w:ascii="Times New Roman" w:eastAsia="Times New Roman" w:hAnsi="Times New Roman" w:cs="Times New Roman"/>
          <w:color w:val="000000"/>
          <w:spacing w:val="0"/>
          <w:w w:val="100"/>
          <w:position w:val="0"/>
          <w:shd w:val="clear" w:color="auto" w:fill="auto"/>
          <w:lang w:val="en-US" w:eastAsia="en-US" w:bidi="en-US"/>
        </w:rPr>
        <w:t>gained immense influence.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Had this been all, Western theology might have sunk into a purely Chinese devotion to ancient classics. But the medieval world had not one authority but two. Thin and turbid, the stream of classical tradition had flowed on through Cassiodorus or Boetius or Isidore; through these, at second-hand, it made itself known and did its work. But before the great outburst of scholasticism, ancient literature found a somewhat less inadequate channel in Arabian and partly even in Jewish scholarship. Aristotle was no longer strained through the meshes of Boetius; and the new light inspired Roscellinus with heresy.</w:t>
      </w:r>
    </w:p>
    <w:p>
      <w:pPr>
        <w:pStyle w:val="Style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7"/>
          <w:szCs w:val="17"/>
          <w:shd w:val="clear" w:color="auto" w:fill="auto"/>
          <w:lang w:val="en-US" w:eastAsia="en-US" w:bidi="en-US"/>
        </w:rPr>
        <w:t>True, we must not exaggerate this influence. There was no genuine renaissance of civilization, such as marked the dawn of modern history. The medieval world did not copy the free scientific spirit of Aristotle; it made him, so far as known, a sort of philosophical Bible side by side with the theo</w:t>
        <w:softHyphen/>
        <w:t xml:space="preserve">logical Bible. But it was a very great matter to have two authorities rather than one. And if any man was to be put in the preposterous position of a secular Bible, no writer was fitter for it than Aristotle. The middle ages did their best in this grouping; only here and there a rare spirit like Roger Bacon did something more, something altogether superior to his age, in showing that the faculty of independent scientific inquiry was not quite extinct. It is possible to exaggerate the influence of the revived knowledge of Aristotle; but, so far as one can trace causes in the mysterious intellectual life of mankind, that influence gave scholasticism its vigour.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Arabian Philosophy, Scholasticism.)</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 new knowledge and impulse, there came a new method. Alexander of Hales is the first to adopt it, in place of the “ rhetori</w:t>
        <w:softHyphen/>
        <w:t xml:space="preserve">cal ” method of previous theologians. Everything is now matter of debate and argument.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Sentences </w:t>
      </w:r>
      <w:r>
        <w:rPr>
          <w:rFonts w:ascii="Times New Roman" w:eastAsia="Times New Roman" w:hAnsi="Times New Roman" w:cs="Times New Roman"/>
          <w:color w:val="000000"/>
          <w:spacing w:val="0"/>
          <w:w w:val="100"/>
          <w:position w:val="0"/>
          <w:shd w:val="clear" w:color="auto" w:fill="auto"/>
          <w:lang w:val="en-US" w:eastAsia="en-US" w:bidi="en-US"/>
        </w:rPr>
        <w:t>had resolved theology into a string of headings; with scholasticism each topic dissolves into a string of arguments for and against. These arguments are made up of “ rationes ” and “ auctoritates,” philosophical authorities and theological autho</w:t>
        <w:softHyphen/>
        <w:t>rities. They are as litigious as a lawsuit—without any summing up; the end comes in a moment with a text of Scripture or an utterance by one of the great Fathers. . Once such a dictum has been cited, the rest of the discussion is treated as by-ρlay and goes for nothing. “ I am a transmitter,” Confucius is reported to have said. The great schoolmen were transmitters—putting in order, stating clearly and consecutively, conclusions reached by wiser and holier men in earlier times. Are. the systems self-con</w:t>
        <w:softHyphen/>
        <w:t>sistent? Their guarantee is the tireless criticism carried on by rival systems. No parallel display of debating acuteness has ever been seen in the world’s history. It is easy to underrate the schoolmen. Indolence in every age escapes difficulties by shirking them, but the schoolmen’s activity raised innumerable awkward questions. On the other hand, they possessed to perfection the means of making their speech evasive. If there are hollow places in the doctrinal foundations of the Church, it will be a tacit under</w:t>
        <w:softHyphen/>
        <w:t>standing among the schoolmen that such questions are not to be pressed. Above all, one must not look to a schoolman to speak “ a piercing and a reconciling word. ” There is no revision of the premises in debate from a higher or even from a detached and independent point of view. The premises from which he may select are fixed; many of the conclusions to be reached are also fixed. He speaks, most cleverly, to his brief, but he will not go outside it. He may argue as he likes so. long as he respects the Church's decisions and reaches her conclusions.</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systems of the leading schoolmen must rank above their commentaries upon the Lombard’s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Sentences,</w:t>
      </w:r>
      <w:r>
        <w:rPr>
          <w:rFonts w:ascii="Times New Roman" w:eastAsia="Times New Roman" w:hAnsi="Times New Roman" w:cs="Times New Roman"/>
          <w:color w:val="000000"/>
          <w:spacing w:val="0"/>
          <w:w w:val="100"/>
          <w:position w:val="0"/>
          <w:shd w:val="clear" w:color="auto" w:fill="auto"/>
          <w:lang w:val="en-US" w:eastAsia="en-US" w:bidi="en-US"/>
        </w:rPr>
        <w:t xml:space="preserve"> as the greatest of all systems of theology. Especially is that honour due to St Thomas Aquinas's larger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Summa Theologiae.@@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We may well believe that he represents scholastic divinity at its best. He is not an Augustine, still less perhaps an Aristotle, but he is the Aristotle and the Augustine of his age, the normal thinker of the present and the lawgiver of the future. He teaches the medieval Platonic realism, but he accepts the Aristotelian philo</w:t>
        <w:softHyphen/>
        <w:t>sophy of his day, marking off certain truths as proved and under</w:t>
        <w:softHyphen/>
        <w:t xml:space="preserve">stood by the light of nature, and stamping those which are not so proved as not understood nor understandable,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as “ mysteries,”</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Even the Council of Trent defined what </w:t>
      </w:r>
      <w:r>
        <w:rPr>
          <w:rFonts w:ascii="Times New Roman" w:eastAsia="Times New Roman" w:hAnsi="Times New Roman" w:cs="Times New Roman"/>
          <w:color w:val="000000"/>
          <w:spacing w:val="0"/>
          <w:w w:val="100"/>
          <w:position w:val="0"/>
          <w:shd w:val="clear" w:color="auto" w:fill="auto"/>
          <w:lang w:val="fr-FR" w:eastAsia="fr-FR" w:bidi="fr-FR"/>
        </w:rPr>
        <w:t xml:space="preserve">Protestants </w:t>
      </w:r>
      <w:r>
        <w:rPr>
          <w:rFonts w:ascii="Times New Roman" w:eastAsia="Times New Roman" w:hAnsi="Times New Roman" w:cs="Times New Roman"/>
          <w:color w:val="000000"/>
          <w:spacing w:val="0"/>
          <w:w w:val="100"/>
          <w:position w:val="0"/>
          <w:shd w:val="clear" w:color="auto" w:fill="auto"/>
          <w:lang w:val="en-US" w:eastAsia="en-US" w:bidi="en-US"/>
        </w:rPr>
        <w:t>had challenged—nothing else.</w:t>
      </w:r>
    </w:p>
    <w:p>
      <w:pPr>
        <w:pStyle w:val="Style6"/>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Summa contra Gentiles</w:t>
      </w:r>
      <w:r>
        <w:rPr>
          <w:rFonts w:ascii="Times New Roman" w:eastAsia="Times New Roman" w:hAnsi="Times New Roman" w:cs="Times New Roman"/>
          <w:color w:val="000000"/>
          <w:spacing w:val="0"/>
          <w:w w:val="100"/>
          <w:position w:val="0"/>
          <w:shd w:val="clear" w:color="auto" w:fill="auto"/>
          <w:lang w:val="en-US" w:eastAsia="en-US" w:bidi="en-US"/>
        </w:rPr>
        <w:t xml:space="preserve"> has a more polemic or apologetic interest than the dogmatic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Summa,</w:t>
      </w:r>
      <w:r>
        <w:rPr>
          <w:rFonts w:ascii="Times New Roman" w:eastAsia="Times New Roman" w:hAnsi="Times New Roman" w:cs="Times New Roman"/>
          <w:color w:val="000000"/>
          <w:spacing w:val="0"/>
          <w:w w:val="100"/>
          <w:position w:val="0"/>
          <w:shd w:val="clear" w:color="auto" w:fill="auto"/>
          <w:lang w:val="en-US" w:eastAsia="en-US" w:bidi="en-US"/>
        </w:rPr>
        <w:t xml:space="preserve"> but deals almost equally with the contents of Christian theology as a whole. Books i.-iii. are said to deal with what is later known as natural theology, and Book iv. with what is later known as dogmatic. But Aquinas appeals to the Bible as an authority all through. That is not the procedure of modern natural theology.</w:t>
      </w:r>
    </w:p>
    <w:p>
      <w:pPr>
        <w:widowControl w:val="0"/>
        <w:spacing w:line="1" w:lineRule="exact"/>
      </w:pPr>
    </w:p>
    <w:sectPr>
      <w:footnotePr>
        <w:pos w:val="pageBottom"/>
        <w:numFmt w:val="decimal"/>
        <w:numRestart w:val="continuous"/>
      </w:footnotePr>
      <w:type w:val="continuous"/>
      <w:pgSz w:w="12240" w:h="15840"/>
      <w:pgMar w:top="1075" w:left="1061" w:right="739" w:bottom="4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