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Calvin,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lang w:val="de-DE" w:eastAsia="de-DE" w:bidi="de-DE"/>
        </w:rPr>
        <w:t xml:space="preserve">Zwingli, </w:t>
      </w:r>
      <w:r>
        <w:rPr>
          <w:rFonts w:ascii="Times New Roman" w:eastAsia="Times New Roman" w:hAnsi="Times New Roman" w:cs="Times New Roman"/>
          <w:color w:val="000000"/>
          <w:spacing w:val="0"/>
          <w:w w:val="100"/>
          <w:position w:val="0"/>
          <w:shd w:val="clear" w:color="auto" w:fill="auto"/>
          <w:lang w:val="en-US" w:eastAsia="en-US" w:bidi="en-US"/>
        </w:rPr>
        <w:t>then John Knox and others. The reply to Protestantism is represented by Cardinal Bellarmine, Petavius (less directly), Moehler.</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Speculative theology was represented in the Roman Catholic Church of the 19th century by the Italian writers Λ. Rosmini,</w:t>
      </w:r>
    </w:p>
    <w:p>
      <w:pPr>
        <w:pStyle w:val="Style3"/>
        <w:keepNext w:val="0"/>
        <w:keepLines w:val="0"/>
        <w:widowControl w:val="0"/>
        <w:shd w:val="clear" w:color="auto" w:fill="auto"/>
        <w:tabs>
          <w:tab w:pos="298"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w:t>
        <w:tab/>
        <w:t>Gioberti, T. Mamiani della Rovere. Roman Catholic learning has always taken a high place (the Bollandists; the Benedictines; the huge collections of Migne). Of the Church’s ample devo</w:t>
        <w:softHyphen/>
        <w:t xml:space="preserve">tional literature St Francis of Sales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Faber are favourable specimens. A modern </w:t>
      </w:r>
      <w:r>
        <w:rPr>
          <w:rFonts w:ascii="Times New Roman" w:eastAsia="Times New Roman" w:hAnsi="Times New Roman" w:cs="Times New Roman"/>
          <w:i/>
          <w:iCs/>
          <w:color w:val="000000"/>
          <w:spacing w:val="0"/>
          <w:w w:val="100"/>
          <w:position w:val="0"/>
          <w:shd w:val="clear" w:color="auto" w:fill="auto"/>
          <w:lang w:val="en-US" w:eastAsia="en-US" w:bidi="en-US"/>
        </w:rPr>
        <w:t>Dogmatic</w:t>
      </w:r>
      <w:r>
        <w:rPr>
          <w:rFonts w:ascii="Times New Roman" w:eastAsia="Times New Roman" w:hAnsi="Times New Roman" w:cs="Times New Roman"/>
          <w:color w:val="000000"/>
          <w:spacing w:val="0"/>
          <w:w w:val="100"/>
          <w:position w:val="0"/>
          <w:shd w:val="clear" w:color="auto" w:fill="auto"/>
          <w:lang w:val="en-US" w:eastAsia="en-US" w:bidi="en-US"/>
        </w:rPr>
        <w:t xml:space="preserve"> is by Syl. T. Hunter, S.J.</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Anglican theology is little inclined to dogmatics. We have such unsystematic systems as Bishop Pearson's </w:t>
      </w:r>
      <w:r>
        <w:rPr>
          <w:rFonts w:ascii="Times New Roman" w:eastAsia="Times New Roman" w:hAnsi="Times New Roman" w:cs="Times New Roman"/>
          <w:i/>
          <w:iCs/>
          <w:color w:val="000000"/>
          <w:spacing w:val="0"/>
          <w:w w:val="100"/>
          <w:position w:val="0"/>
          <w:shd w:val="clear" w:color="auto" w:fill="auto"/>
          <w:lang w:val="en-US" w:eastAsia="en-US" w:bidi="en-US"/>
        </w:rPr>
        <w:t>Exposition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Apostles' Creed—a book of the golden age of great writers—or we have average 19th-century Church orthodoxy in Bishop H. Browne, </w:t>
      </w:r>
      <w:r>
        <w:rPr>
          <w:rFonts w:ascii="Times New Roman" w:eastAsia="Times New Roman" w:hAnsi="Times New Roman" w:cs="Times New Roman"/>
          <w:i/>
          <w:iCs/>
          <w:color w:val="000000"/>
          <w:spacing w:val="0"/>
          <w:w w:val="100"/>
          <w:position w:val="0"/>
          <w:shd w:val="clear" w:color="auto" w:fill="auto"/>
          <w:lang w:val="en-US" w:eastAsia="en-US" w:bidi="en-US"/>
        </w:rPr>
        <w:t>On the XXXIX. Articles.</w:t>
      </w:r>
      <w:r>
        <w:rPr>
          <w:rFonts w:ascii="Times New Roman" w:eastAsia="Times New Roman" w:hAnsi="Times New Roman" w:cs="Times New Roman"/>
          <w:color w:val="000000"/>
          <w:spacing w:val="0"/>
          <w:w w:val="100"/>
          <w:position w:val="0"/>
          <w:shd w:val="clear" w:color="auto" w:fill="auto"/>
          <w:lang w:val="en-US" w:eastAsia="en-US" w:bidi="en-US"/>
        </w:rPr>
        <w:t xml:space="preserve"> Anglicanism prefers to philosophize institu</w:t>
        <w:softHyphen/>
        <w:t xml:space="preserve">tions. (R. Hooker, </w:t>
      </w:r>
      <w:r>
        <w:rPr>
          <w:rFonts w:ascii="Times New Roman" w:eastAsia="Times New Roman" w:hAnsi="Times New Roman" w:cs="Times New Roman"/>
          <w:i/>
          <w:iCs/>
          <w:color w:val="000000"/>
          <w:spacing w:val="0"/>
          <w:w w:val="100"/>
          <w:position w:val="0"/>
          <w:shd w:val="clear" w:color="auto" w:fill="auto"/>
          <w:lang w:val="en-US" w:eastAsia="en-US" w:bidi="en-US"/>
        </w:rPr>
        <w:t>Laws of Ecclesiastical Polity),</w:t>
      </w:r>
      <w:r>
        <w:rPr>
          <w:rFonts w:ascii="Times New Roman" w:eastAsia="Times New Roman" w:hAnsi="Times New Roman" w:cs="Times New Roman"/>
          <w:color w:val="000000"/>
          <w:spacing w:val="0"/>
          <w:w w:val="100"/>
          <w:position w:val="0"/>
          <w:shd w:val="clear" w:color="auto" w:fill="auto"/>
          <w:lang w:val="en-US" w:eastAsia="en-US" w:bidi="en-US"/>
        </w:rPr>
        <w:t xml:space="preserve"> or states ancient learning (R. Cudworth; the Cambridge Platonists), or else polemical learning—Bishop Bull (against Petavius’s innovating views of history), D. Waterland (against S. Clarke), S. Horsley (against J. Priestley), J. B. Lightfoot (very strong as an apologist in scholar</w:t>
        <w:softHyphen/>
        <w:t>ship; not strong in pure thinking); the polemic becomes altogether conciliatory in those other glories of 19th-century Cambridge,</w:t>
      </w:r>
    </w:p>
    <w:p>
      <w:pPr>
        <w:pStyle w:val="Style3"/>
        <w:keepNext w:val="0"/>
        <w:keepLines w:val="0"/>
        <w:widowControl w:val="0"/>
        <w:shd w:val="clear" w:color="auto" w:fill="auto"/>
        <w:tabs>
          <w:tab w:pos="298"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B.</w:t>
        <w:tab/>
      </w:r>
      <w:r>
        <w:rPr>
          <w:rFonts w:ascii="Times New Roman" w:eastAsia="Times New Roman" w:hAnsi="Times New Roman" w:cs="Times New Roman"/>
          <w:color w:val="000000"/>
          <w:spacing w:val="0"/>
          <w:w w:val="100"/>
          <w:position w:val="0"/>
          <w:shd w:val="clear" w:color="auto" w:fill="auto"/>
          <w:lang w:val="en-US" w:eastAsia="en-US" w:bidi="en-US"/>
        </w:rPr>
        <w:t xml:space="preserve">F. Westcott and F. J. A. </w:t>
      </w:r>
      <w:r>
        <w:rPr>
          <w:rFonts w:ascii="Times New Roman" w:eastAsia="Times New Roman" w:hAnsi="Times New Roman" w:cs="Times New Roman"/>
          <w:color w:val="000000"/>
          <w:spacing w:val="0"/>
          <w:w w:val="100"/>
          <w:position w:val="0"/>
          <w:shd w:val="clear" w:color="auto" w:fill="auto"/>
          <w:lang w:val="de-DE" w:eastAsia="de-DE" w:bidi="de-DE"/>
        </w:rPr>
        <w:t xml:space="preserve">Hort. </w:t>
      </w:r>
      <w:r>
        <w:rPr>
          <w:rFonts w:ascii="Times New Roman" w:eastAsia="Times New Roman" w:hAnsi="Times New Roman" w:cs="Times New Roman"/>
          <w:color w:val="000000"/>
          <w:spacing w:val="0"/>
          <w:w w:val="100"/>
          <w:position w:val="0"/>
          <w:shd w:val="clear" w:color="auto" w:fill="auto"/>
          <w:lang w:val="en-US" w:eastAsia="en-US" w:bidi="en-US"/>
        </w:rPr>
        <w:t xml:space="preserve">Or Anglican theology deals with historical points of detail, such as fill the </w:t>
      </w:r>
      <w:r>
        <w:rPr>
          <w:rFonts w:ascii="Times New Roman" w:eastAsia="Times New Roman" w:hAnsi="Times New Roman" w:cs="Times New Roman"/>
          <w:i/>
          <w:iCs/>
          <w:color w:val="000000"/>
          <w:spacing w:val="0"/>
          <w:w w:val="100"/>
          <w:position w:val="0"/>
          <w:shd w:val="clear" w:color="auto" w:fill="auto"/>
          <w:lang w:val="en-US" w:eastAsia="en-US" w:bidi="en-US"/>
        </w:rPr>
        <w:t>Journal of Theol. Studies.</w:t>
      </w:r>
      <w:r>
        <w:rPr>
          <w:rFonts w:ascii="Times New Roman" w:eastAsia="Times New Roman" w:hAnsi="Times New Roman" w:cs="Times New Roman"/>
          <w:color w:val="000000"/>
          <w:spacing w:val="0"/>
          <w:w w:val="100"/>
          <w:position w:val="0"/>
          <w:shd w:val="clear" w:color="auto" w:fill="auto"/>
          <w:lang w:val="en-US" w:eastAsia="en-US" w:bidi="en-US"/>
        </w:rPr>
        <w:t xml:space="preserve"> In devotional literature Anglicanism has always been rich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Jeremy Taylor, Archbishop R. Leighton, L. Andrewes, W. Law, J. H. Newman). Bishop Butler stands by himself in lonely greatness.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English Puritanism lives in the affections of modern readers more than the Protestant schoolmen of the Continent do—Richard Baxter, John Owen, John Howe, Thos. Goodwin, John Goodwin (an early Arminian); for learning, John Lightfoot; for genius, John Milton; for literary and devotional power, John Bunyan— always admirable except when he talks Puritan dogma. Essential Puritanism is prolonged in the 19th century by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W. Dale </w:t>
      </w:r>
      <w:r>
        <w:rPr>
          <w:rFonts w:ascii="Times New Roman" w:eastAsia="Times New Roman" w:hAnsi="Times New Roman" w:cs="Times New Roman"/>
          <w:i/>
          <w:iCs/>
          <w:color w:val="000000"/>
          <w:spacing w:val="0"/>
          <w:w w:val="100"/>
          <w:position w:val="0"/>
          <w:shd w:val="clear" w:color="auto" w:fill="auto"/>
          <w:lang w:val="en-US" w:eastAsia="en-US" w:bidi="en-US"/>
        </w:rPr>
        <w:t>(The Atonement; Christian Doctrine).</w:t>
      </w:r>
      <w:r>
        <w:rPr>
          <w:rFonts w:ascii="Times New Roman" w:eastAsia="Times New Roman" w:hAnsi="Times New Roman" w:cs="Times New Roman"/>
          <w:color w:val="000000"/>
          <w:spacing w:val="0"/>
          <w:w w:val="100"/>
          <w:position w:val="0"/>
          <w:shd w:val="clear" w:color="auto" w:fill="auto"/>
          <w:lang w:val="en-US" w:eastAsia="en-US" w:bidi="en-US"/>
        </w:rPr>
        <w:t xml:space="preserve"> The Scottish leader, T. Chalmers </w:t>
      </w:r>
      <w:r>
        <w:rPr>
          <w:rFonts w:ascii="Times New Roman" w:eastAsia="Times New Roman" w:hAnsi="Times New Roman" w:cs="Times New Roman"/>
          <w:i/>
          <w:iCs/>
          <w:color w:val="000000"/>
          <w:spacing w:val="0"/>
          <w:w w:val="100"/>
          <w:position w:val="0"/>
          <w:shd w:val="clear" w:color="auto" w:fill="auto"/>
          <w:lang w:val="en-US" w:eastAsia="en-US" w:bidi="en-US"/>
        </w:rPr>
        <w:t>(Lectures on Divinity),</w:t>
      </w:r>
      <w:r>
        <w:rPr>
          <w:rFonts w:ascii="Times New Roman" w:eastAsia="Times New Roman" w:hAnsi="Times New Roman" w:cs="Times New Roman"/>
          <w:color w:val="000000"/>
          <w:spacing w:val="0"/>
          <w:w w:val="100"/>
          <w:position w:val="0"/>
          <w:shd w:val="clear" w:color="auto" w:fill="auto"/>
          <w:lang w:val="en-US" w:eastAsia="en-US" w:bidi="en-US"/>
        </w:rPr>
        <w:t xml:space="preserve"> is more important as an orator or as a man than as a thinker. The somewhat earlier lectures of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Hill are dry..</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Arminianism is less fully worked out by Arminius than by later Dutch divines, of whom the “ conciliatory ” Limborch is sometimes used as a Methodist text-book. The theologian of English Methodism, apart from John Wesley himself, is Richard Watson.</w:t>
      </w:r>
    </w:p>
    <w:p>
      <w:pPr>
        <w:pStyle w:val="Style3"/>
        <w:keepNext w:val="0"/>
        <w:keepLines w:val="0"/>
        <w:widowControl w:val="0"/>
        <w:shd w:val="clear" w:color="auto" w:fill="auto"/>
        <w:tabs>
          <w:tab w:pos="335"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W.</w:t>
        <w:tab/>
      </w:r>
      <w:r>
        <w:rPr>
          <w:rFonts w:ascii="Times New Roman" w:eastAsia="Times New Roman" w:hAnsi="Times New Roman" w:cs="Times New Roman"/>
          <w:color w:val="000000"/>
          <w:spacing w:val="0"/>
          <w:w w:val="100"/>
          <w:position w:val="0"/>
          <w:shd w:val="clear" w:color="auto" w:fill="auto"/>
          <w:lang w:val="en-US" w:eastAsia="en-US" w:bidi="en-US"/>
        </w:rPr>
        <w:t xml:space="preserve">B. Pope’s </w:t>
      </w:r>
      <w:r>
        <w:rPr>
          <w:rFonts w:ascii="Times New Roman" w:eastAsia="Times New Roman" w:hAnsi="Times New Roman" w:cs="Times New Roman"/>
          <w:i/>
          <w:iCs/>
          <w:color w:val="000000"/>
          <w:spacing w:val="0"/>
          <w:w w:val="100"/>
          <w:position w:val="0"/>
          <w:shd w:val="clear" w:color="auto" w:fill="auto"/>
          <w:lang w:val="en-US" w:eastAsia="en-US" w:bidi="en-US"/>
        </w:rPr>
        <w:t>Compendium</w:t>
      </w:r>
      <w:r>
        <w:rPr>
          <w:rFonts w:ascii="Times New Roman" w:eastAsia="Times New Roman" w:hAnsi="Times New Roman" w:cs="Times New Roman"/>
          <w:color w:val="000000"/>
          <w:spacing w:val="0"/>
          <w:w w:val="100"/>
          <w:position w:val="0"/>
          <w:shd w:val="clear" w:color="auto" w:fill="auto"/>
          <w:lang w:val="en-US" w:eastAsia="en-US" w:bidi="en-US"/>
        </w:rPr>
        <w:t xml:space="preserve"> is a somewhat more modem version.</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Jonathan Edwards, a very stern Calvinist, is one of the few first-rate geniuses America has to boast in theology. C. Hodge, A A. Hodge, </w:t>
      </w:r>
      <w:r>
        <w:rPr>
          <w:rFonts w:ascii="Times New Roman" w:eastAsia="Times New Roman" w:hAnsi="Times New Roman" w:cs="Times New Roman"/>
          <w:color w:val="000000"/>
          <w:spacing w:val="0"/>
          <w:w w:val="100"/>
          <w:position w:val="0"/>
          <w:shd w:val="clear" w:color="auto" w:fill="auto"/>
          <w:lang w:val="fr-FR" w:eastAsia="fr-FR" w:bidi="fr-FR"/>
        </w:rPr>
        <w:t xml:space="preserve">W. G. </w:t>
      </w:r>
      <w:r>
        <w:rPr>
          <w:rFonts w:ascii="Times New Roman" w:eastAsia="Times New Roman" w:hAnsi="Times New Roman" w:cs="Times New Roman"/>
          <w:color w:val="000000"/>
          <w:spacing w:val="0"/>
          <w:w w:val="100"/>
          <w:position w:val="0"/>
          <w:shd w:val="clear" w:color="auto" w:fill="auto"/>
          <w:lang w:val="en-US" w:eastAsia="en-US" w:bidi="en-US"/>
        </w:rPr>
        <w:t>T. Shedd, published Calvinistic systems. Horace Bushnell had great influence.</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production of systems of Dogmatic (and of Christian Ethics) never ceases in Germany, A. Ritschl was content to rely on his treatise upon </w:t>
      </w:r>
      <w:r>
        <w:rPr>
          <w:rFonts w:ascii="Times New Roman" w:eastAsia="Times New Roman" w:hAnsi="Times New Roman" w:cs="Times New Roman"/>
          <w:i/>
          <w:iCs/>
          <w:color w:val="000000"/>
          <w:spacing w:val="0"/>
          <w:w w:val="100"/>
          <w:position w:val="0"/>
          <w:shd w:val="clear" w:color="auto" w:fill="auto"/>
          <w:lang w:val="en-US" w:eastAsia="en-US" w:bidi="en-US"/>
        </w:rPr>
        <w:t>Justification and Reconciliation</w:t>
      </w:r>
      <w:r>
        <w:rPr>
          <w:rFonts w:ascii="Times New Roman" w:eastAsia="Times New Roman" w:hAnsi="Times New Roman" w:cs="Times New Roman"/>
          <w:color w:val="000000"/>
          <w:spacing w:val="0"/>
          <w:w w:val="100"/>
          <w:position w:val="0"/>
          <w:shd w:val="clear" w:color="auto" w:fill="auto"/>
          <w:lang w:val="en-US" w:eastAsia="en-US" w:bidi="en-US"/>
        </w:rPr>
        <w:t xml:space="preserve"> (vol. i. History of the Doctrine; ii. Biblical material; iii. Positive construction— but much intermingled with history; good English translations of i. and iii.).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Unterricht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Christlichen </w:t>
      </w:r>
      <w:r>
        <w:rPr>
          <w:rFonts w:ascii="Times New Roman" w:eastAsia="Times New Roman" w:hAnsi="Times New Roman" w:cs="Times New Roman"/>
          <w:i/>
          <w:iCs/>
          <w:color w:val="000000"/>
          <w:spacing w:val="0"/>
          <w:w w:val="100"/>
          <w:position w:val="0"/>
          <w:shd w:val="clear" w:color="auto" w:fill="auto"/>
          <w:lang w:val="en-US" w:eastAsia="en-US" w:bidi="en-US"/>
        </w:rPr>
        <w:t>Religion</w:t>
      </w:r>
      <w:r>
        <w:rPr>
          <w:rFonts w:ascii="Times New Roman" w:eastAsia="Times New Roman" w:hAnsi="Times New Roman" w:cs="Times New Roman"/>
          <w:color w:val="000000"/>
          <w:spacing w:val="0"/>
          <w:w w:val="100"/>
          <w:position w:val="0"/>
          <w:shd w:val="clear" w:color="auto" w:fill="auto"/>
          <w:lang w:val="en-US" w:eastAsia="en-US" w:bidi="en-US"/>
        </w:rPr>
        <w:t xml:space="preserve"> is poor as a school-book but useful for reference. Something is to be learned regarding Ritschl himself from his very hostile </w:t>
      </w:r>
      <w:r>
        <w:rPr>
          <w:rFonts w:ascii="Times New Roman" w:eastAsia="Times New Roman" w:hAnsi="Times New Roman" w:cs="Times New Roman"/>
          <w:i/>
          <w:iCs/>
          <w:color w:val="000000"/>
          <w:spacing w:val="0"/>
          <w:w w:val="100"/>
          <w:position w:val="0"/>
          <w:shd w:val="clear" w:color="auto" w:fill="auto"/>
          <w:lang w:val="en-US" w:eastAsia="en-US" w:bidi="en-US"/>
        </w:rPr>
        <w:t>Hist, of Pietism.</w:t>
      </w:r>
      <w:r>
        <w:rPr>
          <w:rFonts w:ascii="Times New Roman" w:eastAsia="Times New Roman" w:hAnsi="Times New Roman" w:cs="Times New Roman"/>
          <w:color w:val="000000"/>
          <w:spacing w:val="0"/>
          <w:w w:val="100"/>
          <w:position w:val="0"/>
          <w:shd w:val="clear" w:color="auto" w:fill="auto"/>
          <w:lang w:val="en-US" w:eastAsia="en-US" w:bidi="en-US"/>
        </w:rPr>
        <w:t xml:space="preserve"> The earlier </w:t>
      </w:r>
      <w:r>
        <w:rPr>
          <w:rFonts w:ascii="Times New Roman" w:eastAsia="Times New Roman" w:hAnsi="Times New Roman" w:cs="Times New Roman"/>
          <w:i/>
          <w:iCs/>
          <w:color w:val="000000"/>
          <w:spacing w:val="0"/>
          <w:w w:val="100"/>
          <w:position w:val="0"/>
          <w:shd w:val="clear" w:color="auto" w:fill="auto"/>
          <w:lang w:val="de-DE" w:eastAsia="de-DE" w:bidi="de-DE"/>
        </w:rPr>
        <w:t>Entstehung der altkatholischen Kirche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1857) is a landmark in Apologetics and Church history. J. Kaf</w:t>
        <w:softHyphen/>
        <w:t xml:space="preserve">tan's </w:t>
      </w:r>
      <w:r>
        <w:rPr>
          <w:rFonts w:ascii="Times New Roman" w:eastAsia="Times New Roman" w:hAnsi="Times New Roman" w:cs="Times New Roman"/>
          <w:i/>
          <w:iCs/>
          <w:color w:val="000000"/>
          <w:spacing w:val="0"/>
          <w:w w:val="100"/>
          <w:position w:val="0"/>
          <w:shd w:val="clear" w:color="auto" w:fill="auto"/>
          <w:lang w:val="en-US" w:eastAsia="en-US" w:bidi="en-US"/>
        </w:rPr>
        <w:t>Dogmatic</w:t>
      </w:r>
      <w:r>
        <w:rPr>
          <w:rFonts w:ascii="Times New Roman" w:eastAsia="Times New Roman" w:hAnsi="Times New Roman" w:cs="Times New Roman"/>
          <w:color w:val="000000"/>
          <w:spacing w:val="0"/>
          <w:w w:val="100"/>
          <w:position w:val="0"/>
          <w:shd w:val="clear" w:color="auto" w:fill="auto"/>
          <w:lang w:val="en-US" w:eastAsia="en-US" w:bidi="en-US"/>
        </w:rPr>
        <w:t xml:space="preserve"> should be named, also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Modern Positive Theology </w:t>
      </w:r>
      <w:r>
        <w:rPr>
          <w:rFonts w:ascii="Times New Roman" w:eastAsia="Times New Roman" w:hAnsi="Times New Roman" w:cs="Times New Roman"/>
          <w:color w:val="000000"/>
          <w:spacing w:val="0"/>
          <w:w w:val="100"/>
          <w:position w:val="0"/>
          <w:shd w:val="clear" w:color="auto" w:fill="auto"/>
          <w:lang w:val="en-US" w:eastAsia="en-US" w:bidi="en-US"/>
        </w:rPr>
        <w:t>of Th. Kaftan and others.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L. Martensen’s </w:t>
      </w:r>
      <w:r>
        <w:rPr>
          <w:rFonts w:ascii="Times New Roman" w:eastAsia="Times New Roman" w:hAnsi="Times New Roman" w:cs="Times New Roman"/>
          <w:i/>
          <w:iCs/>
          <w:color w:val="000000"/>
          <w:spacing w:val="0"/>
          <w:w w:val="100"/>
          <w:position w:val="0"/>
          <w:shd w:val="clear" w:color="auto" w:fill="auto"/>
          <w:lang w:val="en-US" w:eastAsia="en-US" w:bidi="en-US"/>
        </w:rPr>
        <w:t>Dogmatics</w:t>
      </w:r>
      <w:r>
        <w:rPr>
          <w:rFonts w:ascii="Times New Roman" w:eastAsia="Times New Roman" w:hAnsi="Times New Roman" w:cs="Times New Roman"/>
          <w:color w:val="000000"/>
          <w:spacing w:val="0"/>
          <w:w w:val="100"/>
          <w:position w:val="0"/>
          <w:shd w:val="clear" w:color="auto" w:fill="auto"/>
          <w:lang w:val="en-US" w:eastAsia="en-US" w:bidi="en-US"/>
        </w:rPr>
        <w:t xml:space="preserve"> restates substantial orthodoxy with fine literary taste. His </w:t>
      </w:r>
      <w:r>
        <w:rPr>
          <w:rFonts w:ascii="Times New Roman" w:eastAsia="Times New Roman" w:hAnsi="Times New Roman" w:cs="Times New Roman"/>
          <w:i/>
          <w:iCs/>
          <w:color w:val="000000"/>
          <w:spacing w:val="0"/>
          <w:w w:val="100"/>
          <w:position w:val="0"/>
          <w:shd w:val="clear" w:color="auto" w:fill="auto"/>
          <w:lang w:val="en-US" w:eastAsia="en-US" w:bidi="en-US"/>
        </w:rPr>
        <w:t>Christian Ethics,</w:t>
      </w:r>
      <w:r>
        <w:rPr>
          <w:rFonts w:ascii="Times New Roman" w:eastAsia="Times New Roman" w:hAnsi="Times New Roman" w:cs="Times New Roman"/>
          <w:color w:val="000000"/>
          <w:spacing w:val="0"/>
          <w:w w:val="100"/>
          <w:position w:val="0"/>
          <w:shd w:val="clear" w:color="auto" w:fill="auto"/>
          <w:lang w:val="en-US" w:eastAsia="en-US" w:bidi="en-US"/>
        </w:rPr>
        <w:t xml:space="preserve"> though diffuse, is per</w:t>
        <w:softHyphen/>
        <w:t>haps the finest piece of Protestant theology under that title. His friend, I. A. Domer, had a powerful mind but an inferior gift of style-</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The student of theology will do well to seek in the best histories ol doctrine more detached treatment than Dogmatic, can give.</w:t>
      </w:r>
    </w:p>
    <w:p>
      <w:pPr>
        <w:pStyle w:val="Style3"/>
        <w:keepNext w:val="0"/>
        <w:keepLines w:val="0"/>
        <w:widowControl w:val="0"/>
        <w:shd w:val="clear" w:color="auto" w:fill="auto"/>
        <w:tabs>
          <w:tab w:pos="284" w:val="left"/>
        </w:tabs>
        <w:bidi w:val="0"/>
        <w:spacing w:line="187" w:lineRule="auto"/>
        <w:ind w:left="0" w:firstLine="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F.</w:t>
        <w:tab/>
      </w:r>
      <w:r>
        <w:rPr>
          <w:rFonts w:ascii="Times New Roman" w:eastAsia="Times New Roman" w:hAnsi="Times New Roman" w:cs="Times New Roman"/>
          <w:color w:val="000000"/>
          <w:spacing w:val="0"/>
          <w:w w:val="100"/>
          <w:position w:val="0"/>
          <w:shd w:val="clear" w:color="auto" w:fill="auto"/>
          <w:lang w:val="en-US" w:eastAsia="en-US" w:bidi="en-US"/>
        </w:rPr>
        <w:t xml:space="preserve">Loots mentions W. Münscher, J. </w:t>
      </w:r>
      <w:r>
        <w:rPr>
          <w:rFonts w:ascii="Times New Roman" w:eastAsia="Times New Roman" w:hAnsi="Times New Roman" w:cs="Times New Roman"/>
          <w:color w:val="000000"/>
          <w:spacing w:val="0"/>
          <w:w w:val="100"/>
          <w:position w:val="0"/>
          <w:shd w:val="clear" w:color="auto" w:fill="auto"/>
          <w:lang w:val="fr-FR" w:eastAsia="fr-FR" w:bidi="fr-FR"/>
        </w:rPr>
        <w:t xml:space="preserve">A. W. </w:t>
      </w:r>
      <w:r>
        <w:rPr>
          <w:rFonts w:ascii="Times New Roman" w:eastAsia="Times New Roman" w:hAnsi="Times New Roman" w:cs="Times New Roman"/>
          <w:color w:val="000000"/>
          <w:spacing w:val="0"/>
          <w:w w:val="100"/>
          <w:position w:val="0"/>
          <w:shd w:val="clear" w:color="auto" w:fill="auto"/>
          <w:lang w:val="en-US" w:eastAsia="en-US" w:bidi="en-US"/>
        </w:rPr>
        <w:t xml:space="preserve">Neander,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C. Baur,</w:t>
      </w:r>
    </w:p>
    <w:p>
      <w:pPr>
        <w:pStyle w:val="Style3"/>
        <w:keepNext w:val="0"/>
        <w:keepLines w:val="0"/>
        <w:widowControl w:val="0"/>
        <w:shd w:val="clear" w:color="auto" w:fill="auto"/>
        <w:tabs>
          <w:tab w:pos="307" w:val="left"/>
        </w:tabs>
        <w:bidi w:val="0"/>
        <w:spacing w:line="197" w:lineRule="auto"/>
        <w:ind w:left="0" w:firstLine="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G.</w:t>
        <w:tab/>
      </w:r>
      <w:r>
        <w:rPr>
          <w:rFonts w:ascii="Times New Roman" w:eastAsia="Times New Roman" w:hAnsi="Times New Roman" w:cs="Times New Roman"/>
          <w:color w:val="000000"/>
          <w:spacing w:val="0"/>
          <w:w w:val="100"/>
          <w:position w:val="0"/>
          <w:shd w:val="clear" w:color="auto" w:fill="auto"/>
          <w:lang w:val="en-US" w:eastAsia="en-US" w:bidi="en-US"/>
        </w:rPr>
        <w:t xml:space="preserve">Thomasius,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Nitzsch, A. Hamack, as showing steady advance. Add Loots himself and R. Seeberg. Works in English by </w:t>
      </w:r>
      <w:r>
        <w:rPr>
          <w:rFonts w:ascii="Times New Roman" w:eastAsia="Times New Roman" w:hAnsi="Times New Roman" w:cs="Times New Roman"/>
          <w:color w:val="000000"/>
          <w:spacing w:val="0"/>
          <w:w w:val="100"/>
          <w:position w:val="0"/>
          <w:shd w:val="clear" w:color="auto" w:fill="auto"/>
          <w:lang w:val="fr-FR" w:eastAsia="fr-FR" w:bidi="fr-FR"/>
        </w:rPr>
        <w:t xml:space="preserve">W. G. </w:t>
      </w:r>
      <w:r>
        <w:rPr>
          <w:rFonts w:ascii="Times New Roman" w:eastAsia="Times New Roman" w:hAnsi="Times New Roman" w:cs="Times New Roman"/>
          <w:color w:val="000000"/>
          <w:spacing w:val="0"/>
          <w:w w:val="100"/>
          <w:position w:val="0"/>
          <w:shd w:val="clear" w:color="auto" w:fill="auto"/>
          <w:lang w:val="en-US" w:eastAsia="en-US" w:bidi="en-US"/>
        </w:rPr>
        <w:t xml:space="preserve">T. Shedd, G. P. Fisher, J. F. Bethune Baker. Church formularies in Winer </w:t>
      </w:r>
      <w:r>
        <w:rPr>
          <w:rFonts w:ascii="Times New Roman" w:eastAsia="Times New Roman" w:hAnsi="Times New Roman" w:cs="Times New Roman"/>
          <w:i/>
          <w:iCs/>
          <w:color w:val="000000"/>
          <w:spacing w:val="0"/>
          <w:w w:val="100"/>
          <w:position w:val="0"/>
          <w:shd w:val="clear" w:color="auto" w:fill="auto"/>
          <w:lang w:val="en-US" w:eastAsia="en-US" w:bidi="en-US"/>
        </w:rPr>
        <w:t>(Confessions of Christendom),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Schaff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(Creeds of Christendom), </w:t>
      </w:r>
      <w:r>
        <w:rPr>
          <w:rFonts w:ascii="Times New Roman" w:eastAsia="Times New Roman" w:hAnsi="Times New Roman" w:cs="Times New Roman"/>
          <w:color w:val="000000"/>
          <w:spacing w:val="0"/>
          <w:w w:val="100"/>
          <w:position w:val="0"/>
          <w:shd w:val="clear" w:color="auto" w:fill="auto"/>
          <w:lang w:val="en-US" w:eastAsia="en-US" w:bidi="en-US"/>
        </w:rPr>
        <w:t xml:space="preserve">F. Loots </w:t>
      </w:r>
      <w:r>
        <w:rPr>
          <w:rFonts w:ascii="Times New Roman" w:eastAsia="Times New Roman" w:hAnsi="Times New Roman" w:cs="Times New Roman"/>
          <w:i/>
          <w:iCs/>
          <w:color w:val="000000"/>
          <w:spacing w:val="0"/>
          <w:w w:val="100"/>
          <w:position w:val="0"/>
          <w:shd w:val="clear" w:color="auto" w:fill="auto"/>
          <w:lang w:val="de-DE" w:eastAsia="de-DE" w:bidi="de-DE"/>
        </w:rPr>
        <w:t>(Symbolik).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Symbolik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J A. Moehler is a very able anti-Protestant polemic.</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German reviewer has associated as English contributions to Dogmatics, A. Μ. Fairbairn’s </w:t>
      </w:r>
      <w:r>
        <w:rPr>
          <w:rFonts w:ascii="Times New Roman" w:eastAsia="Times New Roman" w:hAnsi="Times New Roman" w:cs="Times New Roman"/>
          <w:i/>
          <w:iCs/>
          <w:color w:val="000000"/>
          <w:spacing w:val="0"/>
          <w:w w:val="100"/>
          <w:position w:val="0"/>
          <w:shd w:val="clear" w:color="auto" w:fill="auto"/>
          <w:lang w:val="en-US" w:eastAsia="en-US" w:bidi="en-US"/>
        </w:rPr>
        <w:t>Christ in Modern Theology,</w:t>
      </w:r>
      <w:r>
        <w:rPr>
          <w:rFonts w:ascii="Times New Roman" w:eastAsia="Times New Roman" w:hAnsi="Times New Roman" w:cs="Times New Roman"/>
          <w:color w:val="000000"/>
          <w:spacing w:val="0"/>
          <w:w w:val="100"/>
          <w:position w:val="0"/>
          <w:shd w:val="clear" w:color="auto" w:fill="auto"/>
          <w:lang w:val="en-US" w:eastAsia="en-US" w:bidi="en-US"/>
        </w:rPr>
        <w:t xml:space="preserve"> A. B. Brace's </w:t>
      </w:r>
      <w:r>
        <w:rPr>
          <w:rFonts w:ascii="Times New Roman" w:eastAsia="Times New Roman" w:hAnsi="Times New Roman" w:cs="Times New Roman"/>
          <w:i/>
          <w:iCs/>
          <w:color w:val="000000"/>
          <w:spacing w:val="0"/>
          <w:w w:val="100"/>
          <w:position w:val="0"/>
          <w:shd w:val="clear" w:color="auto" w:fill="auto"/>
          <w:lang w:val="en-US" w:eastAsia="en-US" w:bidi="en-US"/>
        </w:rPr>
        <w:t>Apologetics,</w:t>
      </w:r>
      <w:r>
        <w:rPr>
          <w:rFonts w:ascii="Times New Roman" w:eastAsia="Times New Roman" w:hAnsi="Times New Roman" w:cs="Times New Roman"/>
          <w:color w:val="000000"/>
          <w:spacing w:val="0"/>
          <w:w w:val="100"/>
          <w:position w:val="0"/>
          <w:shd w:val="clear" w:color="auto" w:fill="auto"/>
          <w:lang w:val="en-US" w:eastAsia="en-US" w:bidi="en-US"/>
        </w:rPr>
        <w:t xml:space="preserve"> and the present writer's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Essay towards a New Theology. </w:t>
      </w:r>
      <w:r>
        <w:rPr>
          <w:rFonts w:ascii="Times New Roman" w:eastAsia="Times New Roman" w:hAnsi="Times New Roman" w:cs="Times New Roman"/>
          <w:color w:val="000000"/>
          <w:spacing w:val="0"/>
          <w:w w:val="100"/>
          <w:position w:val="0"/>
          <w:shd w:val="clear" w:color="auto" w:fill="auto"/>
          <w:lang w:val="en-US" w:eastAsia="en-US" w:bidi="en-US"/>
        </w:rPr>
        <w:t>Two American books represent modern evangelicalism—</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N. Clarke’s very successful </w:t>
      </w:r>
      <w:r>
        <w:rPr>
          <w:rFonts w:ascii="Times New Roman" w:eastAsia="Times New Roman" w:hAnsi="Times New Roman" w:cs="Times New Roman"/>
          <w:i/>
          <w:iCs/>
          <w:color w:val="000000"/>
          <w:spacing w:val="0"/>
          <w:w w:val="100"/>
          <w:position w:val="0"/>
          <w:shd w:val="clear" w:color="auto" w:fill="auto"/>
          <w:lang w:val="en-US" w:eastAsia="en-US" w:bidi="en-US"/>
        </w:rPr>
        <w:t>Outline of Theology,</w:t>
      </w:r>
      <w:r>
        <w:rPr>
          <w:rFonts w:ascii="Times New Roman" w:eastAsia="Times New Roman" w:hAnsi="Times New Roman" w:cs="Times New Roman"/>
          <w:color w:val="000000"/>
          <w:spacing w:val="0"/>
          <w:w w:val="100"/>
          <w:position w:val="0"/>
          <w:shd w:val="clear" w:color="auto" w:fill="auto"/>
          <w:lang w:val="en-US" w:eastAsia="en-US" w:bidi="en-US"/>
        </w:rPr>
        <w:t xml:space="preserve"> and W. A. Brown's </w:t>
      </w:r>
      <w:r>
        <w:rPr>
          <w:rFonts w:ascii="Times New Roman" w:eastAsia="Times New Roman" w:hAnsi="Times New Roman" w:cs="Times New Roman"/>
          <w:i/>
          <w:iCs/>
          <w:color w:val="000000"/>
          <w:spacing w:val="0"/>
          <w:w w:val="100"/>
          <w:position w:val="0"/>
          <w:shd w:val="clear" w:color="auto" w:fill="auto"/>
          <w:lang w:val="en-US" w:eastAsia="en-US" w:bidi="en-US"/>
        </w:rPr>
        <w:t>Christian Theology in Outline.</w:t>
      </w:r>
      <w:r>
        <w:rPr>
          <w:rFonts w:ascii="Times New Roman" w:eastAsia="Times New Roman" w:hAnsi="Times New Roman" w:cs="Times New Roman"/>
          <w:color w:val="000000"/>
          <w:spacing w:val="0"/>
          <w:w w:val="100"/>
          <w:position w:val="0"/>
          <w:shd w:val="clear" w:color="auto" w:fill="auto"/>
          <w:lang w:val="en-US" w:eastAsia="en-US" w:bidi="en-US"/>
        </w:rPr>
        <w:t xml:space="preserve"> The High Church position is given in the </w:t>
      </w:r>
      <w:r>
        <w:rPr>
          <w:rFonts w:ascii="Times New Roman" w:eastAsia="Times New Roman" w:hAnsi="Times New Roman" w:cs="Times New Roman"/>
          <w:i/>
          <w:iCs/>
          <w:color w:val="000000"/>
          <w:spacing w:val="0"/>
          <w:w w:val="100"/>
          <w:position w:val="0"/>
          <w:shd w:val="clear" w:color="auto" w:fill="auto"/>
          <w:lang w:val="en-US" w:eastAsia="en-US" w:bidi="en-US"/>
        </w:rPr>
        <w:t>Manual</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B. Strong, Evangelical Anglicanism in </w:t>
      </w:r>
      <w:r>
        <w:rPr>
          <w:rFonts w:ascii="Times New Roman" w:eastAsia="Times New Roman" w:hAnsi="Times New Roman" w:cs="Times New Roman"/>
          <w:color w:val="000000"/>
          <w:spacing w:val="0"/>
          <w:w w:val="100"/>
          <w:position w:val="0"/>
          <w:shd w:val="clear" w:color="auto" w:fill="auto"/>
          <w:lang w:val="fr-FR" w:eastAsia="fr-FR" w:bidi="fr-FR"/>
        </w:rPr>
        <w:t xml:space="preserve">H. G. </w:t>
      </w:r>
      <w:r>
        <w:rPr>
          <w:rFonts w:ascii="Times New Roman" w:eastAsia="Times New Roman" w:hAnsi="Times New Roman" w:cs="Times New Roman"/>
          <w:color w:val="000000"/>
          <w:spacing w:val="0"/>
          <w:w w:val="100"/>
          <w:position w:val="0"/>
          <w:shd w:val="clear" w:color="auto" w:fill="auto"/>
          <w:lang w:val="en-US" w:eastAsia="en-US" w:bidi="en-US"/>
        </w:rPr>
        <w:t xml:space="preserve">C. Moule’s </w:t>
      </w:r>
      <w:r>
        <w:rPr>
          <w:rFonts w:ascii="Times New Roman" w:eastAsia="Times New Roman" w:hAnsi="Times New Roman" w:cs="Times New Roman"/>
          <w:i/>
          <w:iCs/>
          <w:color w:val="000000"/>
          <w:spacing w:val="0"/>
          <w:w w:val="100"/>
          <w:position w:val="0"/>
          <w:shd w:val="clear" w:color="auto" w:fill="auto"/>
          <w:lang w:val="en-US" w:eastAsia="en-US" w:bidi="en-US"/>
        </w:rPr>
        <w:t>Outline.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Encyclopaedia may be studied in J. F. Räbiger, translated with additions by J. Macpherson. J. Drummond (Unitarian) and A. Cave (Congregationalist) have written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Introductions to Theology·, </w:t>
      </w:r>
      <w:r>
        <w:rPr>
          <w:rFonts w:ascii="Times New Roman" w:eastAsia="Times New Roman" w:hAnsi="Times New Roman" w:cs="Times New Roman"/>
          <w:color w:val="000000"/>
          <w:spacing w:val="0"/>
          <w:w w:val="100"/>
          <w:position w:val="0"/>
          <w:shd w:val="clear" w:color="auto" w:fill="auto"/>
          <w:lang w:val="en-US" w:eastAsia="en-US" w:bidi="en-US"/>
        </w:rPr>
        <w:t>Cave’s bibliographies are not free from errors. American contri</w:t>
        <w:softHyphen/>
        <w:t xml:space="preserve">butions in P. </w:t>
      </w:r>
      <w:r>
        <w:rPr>
          <w:rFonts w:ascii="Times New Roman" w:eastAsia="Times New Roman" w:hAnsi="Times New Roman" w:cs="Times New Roman"/>
          <w:color w:val="000000"/>
          <w:spacing w:val="0"/>
          <w:w w:val="100"/>
          <w:position w:val="0"/>
          <w:shd w:val="clear" w:color="auto" w:fill="auto"/>
          <w:lang w:val="de-DE" w:eastAsia="de-DE" w:bidi="de-DE"/>
        </w:rPr>
        <w:t xml:space="preserve">Schaff’s </w:t>
      </w:r>
      <w:r>
        <w:rPr>
          <w:rFonts w:ascii="Times New Roman" w:eastAsia="Times New Roman" w:hAnsi="Times New Roman" w:cs="Times New Roman"/>
          <w:i/>
          <w:iCs/>
          <w:color w:val="000000"/>
          <w:spacing w:val="0"/>
          <w:w w:val="100"/>
          <w:position w:val="0"/>
          <w:shd w:val="clear" w:color="auto" w:fill="auto"/>
          <w:lang w:val="en-US" w:eastAsia="en-US" w:bidi="en-US"/>
        </w:rPr>
        <w:t>Propaedeutic</w:t>
      </w:r>
      <w:r>
        <w:rPr>
          <w:rFonts w:ascii="Times New Roman" w:eastAsia="Times New Roman" w:hAnsi="Times New Roman" w:cs="Times New Roman"/>
          <w:color w:val="000000"/>
          <w:spacing w:val="0"/>
          <w:w w:val="100"/>
          <w:position w:val="0"/>
          <w:shd w:val="clear" w:color="auto" w:fill="auto"/>
          <w:lang w:val="en-US" w:eastAsia="en-US" w:bidi="en-US"/>
        </w:rPr>
        <w:t xml:space="preserve"> and J. F. Hurst's </w:t>
      </w:r>
      <w:r>
        <w:rPr>
          <w:rFonts w:ascii="Times New Roman" w:eastAsia="Times New Roman" w:hAnsi="Times New Roman" w:cs="Times New Roman"/>
          <w:i/>
          <w:iCs/>
          <w:color w:val="000000"/>
          <w:spacing w:val="0"/>
          <w:w w:val="100"/>
          <w:position w:val="0"/>
          <w:shd w:val="clear" w:color="auto" w:fill="auto"/>
          <w:lang w:val="en-US" w:eastAsia="en-US" w:bidi="en-US"/>
        </w:rPr>
        <w:t>Literature of Theology; a Classified 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 Recent German work by</w:t>
      </w:r>
    </w:p>
    <w:p>
      <w:pPr>
        <w:pStyle w:val="Style3"/>
        <w:keepNext w:val="0"/>
        <w:keepLines w:val="0"/>
        <w:widowControl w:val="0"/>
        <w:shd w:val="clear" w:color="auto" w:fill="auto"/>
        <w:tabs>
          <w:tab w:pos="289"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tab/>
        <w:t>F. G. Heinrici; for older treatment see C. R. Hagenbach.</w:t>
      </w:r>
    </w:p>
    <w:p>
      <w:pPr>
        <w:pStyle w:val="Style7"/>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(R. </w:t>
      </w:r>
      <w:r>
        <w:rPr>
          <w:rFonts w:ascii="Times New Roman" w:eastAsia="Times New Roman" w:hAnsi="Times New Roman" w:cs="Times New Roman"/>
          <w:smallCaps/>
          <w:color w:val="000000"/>
          <w:spacing w:val="0"/>
          <w:w w:val="100"/>
          <w:position w:val="0"/>
          <w:shd w:val="clear" w:color="auto" w:fill="auto"/>
          <w:lang w:val="en-US" w:eastAsia="en-US" w:bidi="en-US"/>
        </w:rPr>
        <w:t>Ma.)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THEON, AELIUS, </w:t>
      </w:r>
      <w:r>
        <w:rPr>
          <w:rFonts w:ascii="Times New Roman" w:eastAsia="Times New Roman" w:hAnsi="Times New Roman" w:cs="Times New Roman"/>
          <w:color w:val="000000"/>
          <w:spacing w:val="0"/>
          <w:w w:val="100"/>
          <w:position w:val="0"/>
          <w:shd w:val="clear" w:color="auto" w:fill="auto"/>
          <w:lang w:val="en-US" w:eastAsia="en-US" w:bidi="en-US"/>
        </w:rPr>
        <w:t xml:space="preserve">Alexandrian sophist of uncertain date, author of a collection of preliminary exercises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(pro-gymnasmata) </w:t>
      </w:r>
      <w:r>
        <w:rPr>
          <w:rFonts w:ascii="Times New Roman" w:eastAsia="Times New Roman" w:hAnsi="Times New Roman" w:cs="Times New Roman"/>
          <w:color w:val="000000"/>
          <w:spacing w:val="0"/>
          <w:w w:val="100"/>
          <w:position w:val="0"/>
          <w:shd w:val="clear" w:color="auto" w:fill="auto"/>
          <w:lang w:val="en-US" w:eastAsia="en-US" w:bidi="en-US"/>
        </w:rPr>
        <w:t>for the training of orators. The work (extant, though incom</w:t>
        <w:softHyphen/>
        <w:t xml:space="preserve">plete), which probably formed an appendix to a manual of rhetoric, shows learning and taste, and contains valuable notices on the style and speeches of the masters of Attic oratory. Theon also wrote commentaries on Xenophon, Isocrates and Demosthenes, and treatises on style. He is to be distinguished from the Stoic Theon, who lived in the time of Augustus and also wrote on rhetoric (Quintilian, </w:t>
      </w:r>
      <w:r>
        <w:rPr>
          <w:rFonts w:ascii="Times New Roman" w:eastAsia="Times New Roman" w:hAnsi="Times New Roman" w:cs="Times New Roman"/>
          <w:i/>
          <w:iCs/>
          <w:color w:val="000000"/>
          <w:spacing w:val="0"/>
          <w:w w:val="100"/>
          <w:position w:val="0"/>
          <w:shd w:val="clear" w:color="auto" w:fill="auto"/>
          <w:lang w:val="en-US" w:eastAsia="en-US" w:bidi="en-US"/>
        </w:rPr>
        <w:t>Inst. Oral.</w:t>
      </w:r>
      <w:r>
        <w:rPr>
          <w:rFonts w:ascii="Times New Roman" w:eastAsia="Times New Roman" w:hAnsi="Times New Roman" w:cs="Times New Roman"/>
          <w:color w:val="000000"/>
          <w:spacing w:val="0"/>
          <w:w w:val="100"/>
          <w:position w:val="0"/>
          <w:shd w:val="clear" w:color="auto" w:fill="auto"/>
          <w:lang w:val="en-US" w:eastAsia="en-US" w:bidi="en-US"/>
        </w:rPr>
        <w:t xml:space="preserve"> ix. 3, 77).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THEON, of Samos, Greek painter of the age of Alexander the Great, is mentioned by Quintilian as a good artist of the second rank. If we may trust the somewhat flimsy stories told about him, his forte consisted in a lifelike, or perhaps, as Brunn </w:t>
      </w:r>
      <w:r>
        <w:rPr>
          <w:rFonts w:ascii="Times New Roman" w:eastAsia="Times New Roman" w:hAnsi="Times New Roman" w:cs="Times New Roman"/>
          <w:i/>
          <w:iCs/>
          <w:color w:val="000000"/>
          <w:spacing w:val="0"/>
          <w:w w:val="100"/>
          <w:position w:val="0"/>
          <w:shd w:val="clear" w:color="auto" w:fill="auto"/>
          <w:lang w:val="en-US" w:eastAsia="en-US" w:bidi="en-US"/>
        </w:rPr>
        <w:t>(Kilnstlergeschichte,</w:t>
      </w:r>
      <w:r>
        <w:rPr>
          <w:rFonts w:ascii="Times New Roman" w:eastAsia="Times New Roman" w:hAnsi="Times New Roman" w:cs="Times New Roman"/>
          <w:color w:val="000000"/>
          <w:spacing w:val="0"/>
          <w:w w:val="100"/>
          <w:position w:val="0"/>
          <w:shd w:val="clear" w:color="auto" w:fill="auto"/>
          <w:lang w:val="en-US" w:eastAsia="en-US" w:bidi="en-US"/>
        </w:rPr>
        <w:t xml:space="preserve"> ii. 253) puts it, a theatrical representation of action. His figures were said to start out of the picture. He chose such congenial subjects as the madness of Orestes, and a soldier rushing to battle. Another painter, Theorus, is mentioned, whom Brunn regards as identical with Theon.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THEOPHANES, </w:t>
      </w:r>
      <w:r>
        <w:rPr>
          <w:rFonts w:ascii="Times New Roman" w:eastAsia="Times New Roman" w:hAnsi="Times New Roman" w:cs="Times New Roman"/>
          <w:color w:val="000000"/>
          <w:spacing w:val="0"/>
          <w:w w:val="100"/>
          <w:position w:val="0"/>
          <w:shd w:val="clear" w:color="auto" w:fill="auto"/>
          <w:lang w:val="en-US" w:eastAsia="en-US" w:bidi="en-US"/>
        </w:rPr>
        <w:t xml:space="preserve">surnamed “ the Confessor ” (c.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758-817), Greek ascetic, chronicler and saint, belonged to a noble and wealthy family, and held several offices under Constantine V. Copronymus (741-775). He subsequently retired from the world and founded a monastery </w:t>
      </w:r>
      <w:r>
        <w:rPr>
          <w:rFonts w:ascii="Times New Roman" w:eastAsia="Times New Roman" w:hAnsi="Times New Roman" w:cs="Times New Roman"/>
          <w:color w:val="000000"/>
          <w:spacing w:val="0"/>
          <w:w w:val="100"/>
          <w:position w:val="0"/>
          <w:shd w:val="clear" w:color="auto" w:fill="auto"/>
          <w:lang w:val="el-GR" w:eastAsia="el-GR" w:bidi="el-GR"/>
        </w:rPr>
        <w:t xml:space="preserve">(τού Μβγάλον ’Αγρού) </w:t>
      </w:r>
      <w:r>
        <w:rPr>
          <w:rFonts w:ascii="Times New Roman" w:eastAsia="Times New Roman" w:hAnsi="Times New Roman" w:cs="Times New Roman"/>
          <w:color w:val="000000"/>
          <w:spacing w:val="0"/>
          <w:w w:val="100"/>
          <w:position w:val="0"/>
          <w:shd w:val="clear" w:color="auto" w:fill="auto"/>
          <w:lang w:val="en-US" w:eastAsia="en-US" w:bidi="en-US"/>
        </w:rPr>
        <w:t>near Sigriane.@@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was a strong supporter of the worship of images, and in 815 was summoned to Constantinople by Leo the Armenian, who formally ordered him to renounce his principles. Theophanes refused, and, after tw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o years’ im</w:t>
        <w:softHyphen/>
        <w:t>prisonment, was banished to the island of Samothrace, where he died. He subsequently received the honours of canoniza</w:t>
        <w:softHyphen/>
        <w:t xml:space="preserve">tion. At the request of his dying friend, George the Syncellus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Theophanes undertook to continue his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which he carried on from the accession of Diocletian to the downfall of Michael I. Rhangabes (284-8r3). The work, although wanting in critical insight and chronological accuracy, is of great value as supplying the accounts of lost authorities. The language occupies a place midway between the stiff ecclesiastical and the vulgar Greek. In chronology, in addition to reckoning by the years of the world and the Christian era, Theophanes introduces in tabular form the regnal years of the Roman emperors, of the Persian kings and Arab caliphs, and of the five oecumenical patriarchs, a system which leads to considerable confusion. The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was much used by succeeding chroniclers, and in 873-875 a compilation in barbarous Latin (in vol. ii. of De Boor’s edition) was made by the papal librarian </w:t>
      </w:r>
      <w:r>
        <w:rPr>
          <w:rFonts w:ascii="Times New Roman" w:eastAsia="Times New Roman" w:hAnsi="Times New Roman" w:cs="Times New Roman"/>
          <w:color w:val="000000"/>
          <w:spacing w:val="0"/>
          <w:w w:val="100"/>
          <w:position w:val="0"/>
          <w:shd w:val="clear" w:color="auto" w:fill="auto"/>
          <w:lang w:val="de-DE" w:eastAsia="de-DE" w:bidi="de-DE"/>
        </w:rPr>
        <w:t xml:space="preserve">Anastasius </w:t>
      </w:r>
      <w:r>
        <w:rPr>
          <w:rFonts w:ascii="Times New Roman" w:eastAsia="Times New Roman" w:hAnsi="Times New Roman" w:cs="Times New Roman"/>
          <w:color w:val="000000"/>
          <w:spacing w:val="0"/>
          <w:w w:val="100"/>
          <w:position w:val="0"/>
          <w:shd w:val="clear" w:color="auto" w:fill="auto"/>
          <w:lang w:val="en-US" w:eastAsia="en-US" w:bidi="en-US"/>
        </w:rPr>
        <w:t>from Nicephorus, George the Syncellus, and Theo</w:t>
        <w:softHyphen/>
        <w:t>phanes for the use of a deacon named Johannes. The transla</w:t>
        <w:softHyphen/>
        <w:t xml:space="preserve">tion (or rather paraphrase) of Theophanes really begins with the reign of Justin II. (565), the excerpts from the earlier portion being scanty. At that time there were very few good Greek scholars in the West, and </w:t>
      </w:r>
      <w:r>
        <w:rPr>
          <w:rFonts w:ascii="Times New Roman" w:eastAsia="Times New Roman" w:hAnsi="Times New Roman" w:cs="Times New Roman"/>
          <w:color w:val="000000"/>
          <w:spacing w:val="0"/>
          <w:w w:val="100"/>
          <w:position w:val="0"/>
          <w:shd w:val="clear" w:color="auto" w:fill="auto"/>
          <w:lang w:val="de-DE" w:eastAsia="de-DE" w:bidi="de-DE"/>
        </w:rPr>
        <w:t xml:space="preserve">Anastasius </w:t>
      </w:r>
      <w:r>
        <w:rPr>
          <w:rFonts w:ascii="Times New Roman" w:eastAsia="Times New Roman" w:hAnsi="Times New Roman" w:cs="Times New Roman"/>
          <w:color w:val="000000"/>
          <w:spacing w:val="0"/>
          <w:w w:val="100"/>
          <w:position w:val="0"/>
          <w:shd w:val="clear" w:color="auto" w:fill="auto"/>
          <w:lang w:val="en-US" w:eastAsia="en-US" w:bidi="en-US"/>
        </w:rPr>
        <w:t>shows himself no exception.</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also extant a further continuation, in six books, of the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down to the year 961 by a number of mostly anonymous writers (called Oí µerá </w:t>
      </w:r>
      <w:r>
        <w:rPr>
          <w:rFonts w:ascii="Times New Roman" w:eastAsia="Times New Roman" w:hAnsi="Times New Roman" w:cs="Times New Roman"/>
          <w:i/>
          <w:iCs/>
          <w:color w:val="000000"/>
          <w:spacing w:val="0"/>
          <w:w w:val="100"/>
          <w:position w:val="0"/>
          <w:shd w:val="clear" w:color="auto" w:fill="auto"/>
          <w:lang w:val="en-US" w:eastAsia="en-US" w:bidi="en-US"/>
        </w:rPr>
        <w:t>Otoφhvηv,</w:t>
      </w:r>
      <w:r>
        <w:rPr>
          <w:rFonts w:ascii="Times New Roman" w:eastAsia="Times New Roman" w:hAnsi="Times New Roman" w:cs="Times New Roman"/>
          <w:color w:val="000000"/>
          <w:spacing w:val="0"/>
          <w:w w:val="100"/>
          <w:position w:val="0"/>
          <w:shd w:val="clear" w:color="auto" w:fill="auto"/>
          <w:lang w:val="en-US" w:eastAsia="en-US" w:bidi="en-US"/>
        </w:rPr>
        <w:t xml:space="preserve"> Scriptores post Theophanem), who undertook the work by the instructions of Constantine Por- phyrogenitus. ·</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Editions of the </w:t>
      </w:r>
      <w:r>
        <w:rPr>
          <w:rFonts w:ascii="Times New Roman" w:eastAsia="Times New Roman" w:hAnsi="Times New Roman" w:cs="Times New Roman"/>
          <w:i/>
          <w:iCs/>
          <w:color w:val="000000"/>
          <w:spacing w:val="0"/>
          <w:w w:val="100"/>
          <w:position w:val="0"/>
          <w:shd w:val="clear" w:color="auto" w:fill="auto"/>
          <w:lang w:val="en-US" w:eastAsia="en-US" w:bidi="en-US"/>
        </w:rPr>
        <w:t>Chronicle:—Editio princeps,</w:t>
      </w:r>
      <w:r>
        <w:rPr>
          <w:rFonts w:ascii="Times New Roman" w:eastAsia="Times New Roman" w:hAnsi="Times New Roman" w:cs="Times New Roman"/>
          <w:color w:val="000000"/>
          <w:spacing w:val="0"/>
          <w:w w:val="100"/>
          <w:position w:val="0"/>
          <w:shd w:val="clear" w:color="auto" w:fill="auto"/>
          <w:lang w:val="en-US" w:eastAsia="en-US" w:bidi="en-US"/>
        </w:rPr>
        <w:t xml:space="preserve"> J. Goar (1655); J. P. Migne, </w:t>
      </w:r>
      <w:r>
        <w:rPr>
          <w:rFonts w:ascii="Times New Roman" w:eastAsia="Times New Roman" w:hAnsi="Times New Roman" w:cs="Times New Roman"/>
          <w:i/>
          <w:iCs/>
          <w:color w:val="000000"/>
          <w:spacing w:val="0"/>
          <w:w w:val="100"/>
          <w:position w:val="0"/>
          <w:shd w:val="clear" w:color="auto" w:fill="auto"/>
          <w:lang w:val="en-US" w:eastAsia="en-US" w:bidi="en-US"/>
        </w:rPr>
        <w:t>Patrologia Graeca,</w:t>
      </w:r>
      <w:r>
        <w:rPr>
          <w:rFonts w:ascii="Times New Roman" w:eastAsia="Times New Roman" w:hAnsi="Times New Roman" w:cs="Times New Roman"/>
          <w:color w:val="000000"/>
          <w:spacing w:val="0"/>
          <w:w w:val="100"/>
          <w:position w:val="0"/>
          <w:shd w:val="clear" w:color="auto" w:fill="auto"/>
          <w:lang w:val="en-US" w:eastAsia="en-US" w:bidi="en-US"/>
        </w:rPr>
        <w:t xml:space="preserve"> cvïii. ; J. Classen in Bonn </w:t>
      </w:r>
      <w:r>
        <w:rPr>
          <w:rFonts w:ascii="Times New Roman" w:eastAsia="Times New Roman" w:hAnsi="Times New Roman" w:cs="Times New Roman"/>
          <w:i/>
          <w:iCs/>
          <w:color w:val="000000"/>
          <w:spacing w:val="0"/>
          <w:w w:val="100"/>
          <w:position w:val="0"/>
          <w:shd w:val="clear" w:color="auto" w:fill="auto"/>
          <w:lang w:val="en-US" w:eastAsia="en-US" w:bidi="en-US"/>
        </w:rPr>
        <w:t>Corpus Scriptorum Hist. Byzantinae</w:t>
      </w:r>
      <w:r>
        <w:rPr>
          <w:rFonts w:ascii="Times New Roman" w:eastAsia="Times New Roman" w:hAnsi="Times New Roman" w:cs="Times New Roman"/>
          <w:color w:val="000000"/>
          <w:spacing w:val="0"/>
          <w:w w:val="100"/>
          <w:position w:val="0"/>
          <w:shd w:val="clear" w:color="auto" w:fill="auto"/>
          <w:lang w:val="en-US" w:eastAsia="en-US" w:bidi="en-US"/>
        </w:rPr>
        <w:t xml:space="preserve"> (1839-41); and C. de Boor (1883-85), with an exhaustive treatise on the MS. and an elaborate index; see also the monograph by J. Pargoire, “ Saint </w:t>
      </w:r>
      <w:r>
        <w:rPr>
          <w:rFonts w:ascii="Times New Roman" w:eastAsia="Times New Roman" w:hAnsi="Times New Roman" w:cs="Times New Roman"/>
          <w:color w:val="000000"/>
          <w:spacing w:val="0"/>
          <w:w w:val="100"/>
          <w:position w:val="0"/>
          <w:shd w:val="clear" w:color="auto" w:fill="auto"/>
          <w:lang w:val="fr-FR" w:eastAsia="fr-FR" w:bidi="fr-FR"/>
        </w:rPr>
        <w:t xml:space="preserve">Théophane le </w:t>
      </w:r>
      <w:r>
        <w:rPr>
          <w:rFonts w:ascii="Times New Roman" w:eastAsia="Times New Roman" w:hAnsi="Times New Roman" w:cs="Times New Roman"/>
          <w:color w:val="000000"/>
          <w:spacing w:val="0"/>
          <w:w w:val="100"/>
          <w:position w:val="0"/>
          <w:shd w:val="clear" w:color="auto" w:fill="auto"/>
          <w:lang w:val="en-US" w:eastAsia="en-US" w:bidi="en-US"/>
        </w:rPr>
        <w:t xml:space="preserve">Chronographe </w:t>
      </w:r>
      <w:r>
        <w:rPr>
          <w:rFonts w:ascii="Times New Roman" w:eastAsia="Times New Roman" w:hAnsi="Times New Roman" w:cs="Times New Roman"/>
          <w:color w:val="000000"/>
          <w:spacing w:val="0"/>
          <w:w w:val="100"/>
          <w:position w:val="0"/>
          <w:shd w:val="clear" w:color="auto" w:fill="auto"/>
          <w:lang w:val="fr-FR" w:eastAsia="fr-FR" w:bidi="fr-FR"/>
        </w:rPr>
        <w:t xml:space="preserve">et ses </w:t>
      </w:r>
      <w:r>
        <w:rPr>
          <w:rFonts w:ascii="Times New Roman" w:eastAsia="Times New Roman" w:hAnsi="Times New Roman" w:cs="Times New Roman"/>
          <w:color w:val="000000"/>
          <w:spacing w:val="0"/>
          <w:w w:val="100"/>
          <w:position w:val="0"/>
          <w:shd w:val="clear" w:color="auto" w:fill="auto"/>
          <w:lang w:val="en-US" w:eastAsia="en-US" w:bidi="en-US"/>
        </w:rPr>
        <w:t xml:space="preserve">rapports </w:t>
      </w:r>
      <w:r>
        <w:rPr>
          <w:rFonts w:ascii="Times New Roman" w:eastAsia="Times New Roman" w:hAnsi="Times New Roman" w:cs="Times New Roman"/>
          <w:color w:val="000000"/>
          <w:spacing w:val="0"/>
          <w:w w:val="100"/>
          <w:position w:val="0"/>
          <w:shd w:val="clear" w:color="auto" w:fill="auto"/>
          <w:lang w:val="fr-FR" w:eastAsia="fr-FR" w:bidi="fr-FR"/>
        </w:rPr>
        <w:t xml:space="preserve">avec </w:t>
      </w:r>
      <w:r>
        <w:rPr>
          <w:rFonts w:ascii="Times New Roman" w:eastAsia="Times New Roman" w:hAnsi="Times New Roman" w:cs="Times New Roman"/>
          <w:color w:val="000000"/>
          <w:spacing w:val="0"/>
          <w:w w:val="100"/>
          <w:position w:val="0"/>
          <w:shd w:val="clear" w:color="auto" w:fill="auto"/>
          <w:lang w:val="en-US" w:eastAsia="en-US" w:bidi="en-US"/>
        </w:rPr>
        <w:t xml:space="preserve">saint Théodore studite," in </w:t>
      </w:r>
      <w:r>
        <w:rPr>
          <w:rFonts w:ascii="Times New Roman" w:eastAsia="Times New Roman" w:hAnsi="Times New Roman" w:cs="Times New Roman"/>
          <w:i/>
          <w:iCs/>
          <w:color w:val="000000"/>
          <w:spacing w:val="0"/>
          <w:w w:val="100"/>
          <w:position w:val="0"/>
          <w:shd w:val="clear" w:color="auto" w:fill="auto"/>
          <w:lang w:val="el-GR" w:eastAsia="el-GR" w:bidi="el-GR"/>
        </w:rPr>
        <w:t>Βυζαντινά Χρονικά,</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ix. (St Petersburg, 1902).</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Editions of the </w:t>
      </w:r>
      <w:r>
        <w:rPr>
          <w:rFonts w:ascii="Times New Roman" w:eastAsia="Times New Roman" w:hAnsi="Times New Roman" w:cs="Times New Roman"/>
          <w:i/>
          <w:iCs/>
          <w:color w:val="000000"/>
          <w:spacing w:val="0"/>
          <w:w w:val="100"/>
          <w:position w:val="0"/>
          <w:shd w:val="clear" w:color="auto" w:fill="auto"/>
          <w:lang w:val="en-US" w:eastAsia="en-US" w:bidi="en-US"/>
        </w:rPr>
        <w:t>Continuation</w:t>
      </w:r>
      <w:r>
        <w:rPr>
          <w:rFonts w:ascii="Times New Roman" w:eastAsia="Times New Roman" w:hAnsi="Times New Roman" w:cs="Times New Roman"/>
          <w:color w:val="000000"/>
          <w:spacing w:val="0"/>
          <w:w w:val="100"/>
          <w:position w:val="0"/>
          <w:shd w:val="clear" w:color="auto" w:fill="auto"/>
          <w:lang w:val="en-US" w:eastAsia="en-US" w:bidi="en-US"/>
        </w:rPr>
        <w:t xml:space="preserve"> in J. P. Migne, </w:t>
      </w:r>
      <w:r>
        <w:rPr>
          <w:rFonts w:ascii="Times New Roman" w:eastAsia="Times New Roman" w:hAnsi="Times New Roman" w:cs="Times New Roman"/>
          <w:i/>
          <w:iCs/>
          <w:color w:val="000000"/>
          <w:spacing w:val="0"/>
          <w:w w:val="100"/>
          <w:position w:val="0"/>
          <w:shd w:val="clear" w:color="auto" w:fill="auto"/>
          <w:lang w:val="en-US" w:eastAsia="en-US" w:bidi="en-US"/>
        </w:rPr>
        <w:t>Pair. Gr.,</w:t>
      </w:r>
      <w:r>
        <w:rPr>
          <w:rFonts w:ascii="Times New Roman" w:eastAsia="Times New Roman" w:hAnsi="Times New Roman" w:cs="Times New Roman"/>
          <w:color w:val="000000"/>
          <w:spacing w:val="0"/>
          <w:w w:val="100"/>
          <w:position w:val="0"/>
          <w:shd w:val="clear" w:color="auto" w:fill="auto"/>
          <w:lang w:val="en-US" w:eastAsia="en-US" w:bidi="en-US"/>
        </w:rPr>
        <w:t xml:space="preserve"> cix., and by I. Bekker, Bonn </w:t>
      </w:r>
      <w:r>
        <w:rPr>
          <w:rFonts w:ascii="Times New Roman" w:eastAsia="Times New Roman" w:hAnsi="Times New Roman" w:cs="Times New Roman"/>
          <w:i/>
          <w:iCs/>
          <w:color w:val="000000"/>
          <w:spacing w:val="0"/>
          <w:w w:val="100"/>
          <w:position w:val="0"/>
          <w:shd w:val="clear" w:color="auto" w:fill="auto"/>
          <w:lang w:val="en-US" w:eastAsia="en-US" w:bidi="en-US"/>
        </w:rPr>
        <w:t>Corpus Scriptorum Hist. Byz.</w:t>
      </w:r>
      <w:r>
        <w:rPr>
          <w:rFonts w:ascii="Times New Roman" w:eastAsia="Times New Roman" w:hAnsi="Times New Roman" w:cs="Times New Roman"/>
          <w:color w:val="000000"/>
          <w:spacing w:val="0"/>
          <w:w w:val="100"/>
          <w:position w:val="0"/>
          <w:shd w:val="clear" w:color="auto" w:fill="auto"/>
          <w:lang w:val="en-US" w:eastAsia="en-US" w:bidi="en-US"/>
        </w:rPr>
        <w:t xml:space="preserve"> (1838); on both works and Theophanes generally, see C. </w:t>
      </w:r>
      <w:r>
        <w:rPr>
          <w:rFonts w:ascii="Times New Roman" w:eastAsia="Times New Roman" w:hAnsi="Times New Roman" w:cs="Times New Roman"/>
          <w:color w:val="000000"/>
          <w:spacing w:val="0"/>
          <w:w w:val="100"/>
          <w:position w:val="0"/>
          <w:shd w:val="clear" w:color="auto" w:fill="auto"/>
          <w:lang w:val="de-DE" w:eastAsia="de-DE" w:bidi="de-DE"/>
        </w:rPr>
        <w:t xml:space="preserve">Krumbacher, </w:t>
      </w:r>
      <w:r>
        <w:rPr>
          <w:rFonts w:ascii="Times New Roman" w:eastAsia="Times New Roman" w:hAnsi="Times New Roman" w:cs="Times New Roman"/>
          <w:i/>
          <w:iCs/>
          <w:color w:val="000000"/>
          <w:spacing w:val="0"/>
          <w:w w:val="100"/>
          <w:position w:val="0"/>
          <w:shd w:val="clear" w:color="auto" w:fill="auto"/>
          <w:lang w:val="de-DE" w:eastAsia="de-DE" w:bidi="de-DE"/>
        </w:rPr>
        <w:t>Geschichte der byzantinischen Litteratur</w:t>
      </w:r>
      <w:r>
        <w:rPr>
          <w:rFonts w:ascii="Times New Roman" w:eastAsia="Times New Roman" w:hAnsi="Times New Roman" w:cs="Times New Roman"/>
          <w:color w:val="000000"/>
          <w:spacing w:val="0"/>
          <w:w w:val="100"/>
          <w:position w:val="0"/>
          <w:shd w:val="clear" w:color="auto" w:fill="auto"/>
          <w:lang w:val="de-DE" w:eastAsia="de-DE" w:bidi="de-DE"/>
        </w:rPr>
        <w:t xml:space="preserve"> (1897); </w:t>
      </w:r>
      <w:r>
        <w:rPr>
          <w:rFonts w:ascii="Times New Roman" w:eastAsia="Times New Roman" w:hAnsi="Times New Roman" w:cs="Times New Roman"/>
          <w:i/>
          <w:iCs/>
          <w:color w:val="000000"/>
          <w:spacing w:val="0"/>
          <w:w w:val="100"/>
          <w:position w:val="0"/>
          <w:shd w:val="clear" w:color="auto" w:fill="auto"/>
          <w:lang w:val="de-DE" w:eastAsia="de-DE" w:bidi="de-DE"/>
        </w:rPr>
        <w:t>Ein Dithyrambus auf Theo</w:t>
        <w:softHyphen/>
        <w:t xml:space="preserve">phanes </w:t>
      </w:r>
      <w:r>
        <w:rPr>
          <w:rFonts w:ascii="Times New Roman" w:eastAsia="Times New Roman" w:hAnsi="Times New Roman" w:cs="Times New Roman"/>
          <w:i/>
          <w:iCs/>
          <w:color w:val="000000"/>
          <w:spacing w:val="0"/>
          <w:w w:val="100"/>
          <w:position w:val="0"/>
          <w:shd w:val="clear" w:color="auto" w:fill="auto"/>
          <w:lang w:val="en-US" w:eastAsia="en-US" w:bidi="en-US"/>
        </w:rPr>
        <w:t>Confessor</w:t>
      </w:r>
      <w:r>
        <w:rPr>
          <w:rFonts w:ascii="Times New Roman" w:eastAsia="Times New Roman" w:hAnsi="Times New Roman" w:cs="Times New Roman"/>
          <w:color w:val="000000"/>
          <w:spacing w:val="0"/>
          <w:w w:val="100"/>
          <w:position w:val="0"/>
          <w:shd w:val="clear" w:color="auto" w:fill="auto"/>
          <w:lang w:val="en-US" w:eastAsia="en-US" w:bidi="en-US"/>
        </w:rPr>
        <w:t xml:space="preserve"> (a panegyric on Theophanes by a certain </w:t>
      </w:r>
      <w:r>
        <w:rPr>
          <w:rFonts w:ascii="Times New Roman" w:eastAsia="Times New Roman" w:hAnsi="Times New Roman" w:cs="Times New Roman"/>
          <w:i/>
          <w:iCs/>
          <w:color w:val="000000"/>
          <w:spacing w:val="0"/>
          <w:w w:val="100"/>
          <w:position w:val="0"/>
          <w:shd w:val="clear" w:color="auto" w:fill="auto"/>
          <w:lang w:val="en-US" w:eastAsia="en-US" w:bidi="en-US"/>
        </w:rPr>
        <w:t>proto- asecretis,</w:t>
      </w:r>
      <w:r>
        <w:rPr>
          <w:rFonts w:ascii="Times New Roman" w:eastAsia="Times New Roman" w:hAnsi="Times New Roman" w:cs="Times New Roman"/>
          <w:color w:val="000000"/>
          <w:spacing w:val="0"/>
          <w:w w:val="100"/>
          <w:position w:val="0"/>
          <w:shd w:val="clear" w:color="auto" w:fill="auto"/>
          <w:lang w:val="en-US" w:eastAsia="en-US" w:bidi="en-US"/>
        </w:rPr>
        <w:t xml:space="preserve"> or chief secretary, under Constantine Porphyrogenitus)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Eine neue </w:t>
      </w:r>
      <w:r>
        <w:rPr>
          <w:rFonts w:ascii="Times New Roman" w:eastAsia="Times New Roman" w:hAnsi="Times New Roman" w:cs="Times New Roman"/>
          <w:i/>
          <w:iCs/>
          <w:color w:val="000000"/>
          <w:spacing w:val="0"/>
          <w:w w:val="100"/>
          <w:position w:val="0"/>
          <w:shd w:val="clear" w:color="auto" w:fill="auto"/>
          <w:lang w:val="en-US" w:eastAsia="en-US" w:bidi="en-US"/>
        </w:rPr>
        <w:t>Vita des Theophanes Confessor</w:t>
      </w:r>
      <w:r>
        <w:rPr>
          <w:rFonts w:ascii="Times New Roman" w:eastAsia="Times New Roman" w:hAnsi="Times New Roman" w:cs="Times New Roman"/>
          <w:color w:val="000000"/>
          <w:spacing w:val="0"/>
          <w:w w:val="100"/>
          <w:position w:val="0"/>
          <w:shd w:val="clear" w:color="auto" w:fill="auto"/>
          <w:lang w:val="en-US" w:eastAsia="en-US" w:bidi="en-US"/>
        </w:rPr>
        <w:t xml:space="preserve"> (anonymous), both edited by the same writer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Sitzungsberichte der </w:t>
      </w:r>
      <w:r>
        <w:rPr>
          <w:rFonts w:ascii="Times New Roman" w:eastAsia="Times New Roman" w:hAnsi="Times New Roman" w:cs="Times New Roman"/>
          <w:i/>
          <w:iCs/>
          <w:color w:val="000000"/>
          <w:spacing w:val="0"/>
          <w:w w:val="100"/>
          <w:position w:val="0"/>
          <w:shd w:val="clear" w:color="auto" w:fill="auto"/>
          <w:lang w:val="fr-FR" w:eastAsia="fr-FR" w:bidi="fr-FR"/>
        </w:rPr>
        <w:t>philos.</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-philol. </w:t>
      </w:r>
      <w:r>
        <w:rPr>
          <w:rFonts w:ascii="Times New Roman" w:eastAsia="Times New Roman" w:hAnsi="Times New Roman" w:cs="Times New Roman"/>
          <w:i/>
          <w:iCs/>
          <w:color w:val="000000"/>
          <w:spacing w:val="0"/>
          <w:w w:val="100"/>
          <w:position w:val="0"/>
          <w:shd w:val="clear" w:color="auto" w:fill="auto"/>
          <w:lang w:val="de-DE" w:eastAsia="de-DE" w:bidi="de-DE"/>
        </w:rPr>
        <w:t>und</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Near the village of Kurshunla, on the Sea of Marmora, between the site of the ancient Cyzicus and the mouth of the Rhyndacus, ruins of the monastery may still be seen; on the whole question see J. Pargoire’s monograph, section 6 (see Bibliography).</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7">
    <w:name w:val="Body text"/>
    <w:basedOn w:val="Normal"/>
    <w:link w:val="CharStyle8"/>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