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those hydrocarbons with positive heat of formation </w:t>
      </w:r>
      <w:r>
        <w:rPr>
          <w:rFonts w:ascii="Times New Roman" w:eastAsia="Times New Roman" w:hAnsi="Times New Roman" w:cs="Times New Roman"/>
          <w:color w:val="000000"/>
          <w:spacing w:val="0"/>
          <w:w w:val="100"/>
          <w:position w:val="0"/>
          <w:shd w:val="clear" w:color="auto" w:fill="auto"/>
          <w:lang w:val="en-US" w:eastAsia="en-US" w:bidi="en-US"/>
        </w:rPr>
        <w:t xml:space="preserve">generate </w:t>
      </w:r>
      <w:r>
        <w:rPr>
          <w:rFonts w:ascii="Times New Roman" w:eastAsia="Times New Roman" w:hAnsi="Times New Roman" w:cs="Times New Roman"/>
          <w:color w:val="000000"/>
          <w:spacing w:val="0"/>
          <w:w w:val="100"/>
          <w:position w:val="0"/>
          <w:shd w:val="clear" w:color="auto" w:fill="auto"/>
          <w:lang w:val="en-US" w:eastAsia="en-US" w:bidi="en-US"/>
        </w:rPr>
        <w:t xml:space="preserve">less heat on burning than the elements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they were </w:t>
      </w:r>
      <w:r>
        <w:rPr>
          <w:rFonts w:ascii="Times New Roman" w:eastAsia="Times New Roman" w:hAnsi="Times New Roman" w:cs="Times New Roman"/>
          <w:color w:val="000000"/>
          <w:spacing w:val="0"/>
          <w:w w:val="100"/>
          <w:position w:val="0"/>
          <w:shd w:val="clear" w:color="auto" w:fill="auto"/>
          <w:lang w:val="en-US" w:eastAsia="en-US" w:bidi="en-US"/>
        </w:rPr>
        <w:t xml:space="preserve">formed, whilst </w:t>
      </w:r>
      <w:r>
        <w:rPr>
          <w:rFonts w:ascii="Times New Roman" w:eastAsia="Times New Roman" w:hAnsi="Times New Roman" w:cs="Times New Roman"/>
          <w:color w:val="000000"/>
          <w:spacing w:val="0"/>
          <w:w w:val="100"/>
          <w:position w:val="0"/>
          <w:shd w:val="clear" w:color="auto" w:fill="auto"/>
          <w:lang w:val="en-US" w:eastAsia="en-US" w:bidi="en-US"/>
        </w:rPr>
        <w:t xml:space="preserve">those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negative </w:t>
      </w:r>
      <w:r>
        <w:rPr>
          <w:rFonts w:ascii="Times New Roman" w:eastAsia="Times New Roman" w:hAnsi="Times New Roman" w:cs="Times New Roman"/>
          <w:color w:val="000000"/>
          <w:spacing w:val="0"/>
          <w:w w:val="100"/>
          <w:position w:val="0"/>
          <w:shd w:val="clear" w:color="auto" w:fill="auto"/>
          <w:lang w:val="en-US" w:eastAsia="en-US" w:bidi="en-US"/>
        </w:rPr>
        <w:t xml:space="preserve">heat of formation generate </w:t>
      </w:r>
      <w:r>
        <w:rPr>
          <w:rFonts w:ascii="Times New Roman" w:eastAsia="Times New Roman" w:hAnsi="Times New Roman" w:cs="Times New Roman"/>
          <w:color w:val="000000"/>
          <w:spacing w:val="0"/>
          <w:w w:val="100"/>
          <w:position w:val="0"/>
          <w:shd w:val="clear" w:color="auto" w:fill="auto"/>
          <w:lang w:val="en-US" w:eastAsia="en-US" w:bidi="en-US"/>
        </w:rPr>
        <w:t xml:space="preserve">more. Thus the heat generated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combustion of acetylene, </w:t>
      </w:r>
      <w:r>
        <w:rPr>
          <w:rFonts w:ascii="Times New Roman" w:eastAsia="Times New Roman" w:hAnsi="Times New Roman" w:cs="Times New Roman"/>
          <w:color w:val="000000"/>
          <w:spacing w:val="0"/>
          <w:w w:val="100"/>
          <w:position w:val="0"/>
          <w:shd w:val="clear" w:color="auto" w:fill="auto"/>
          <w:lang w:val="en-US" w:eastAsia="en-US" w:bidi="en-US"/>
        </w:rPr>
        <w:t xml:space="preserve">C2II2, is 316000 cal., whereas the heat </w:t>
      </w:r>
      <w:r>
        <w:rPr>
          <w:rFonts w:ascii="Times New Roman" w:eastAsia="Times New Roman" w:hAnsi="Times New Roman" w:cs="Times New Roman"/>
          <w:color w:val="000000"/>
          <w:spacing w:val="0"/>
          <w:w w:val="100"/>
          <w:position w:val="0"/>
          <w:shd w:val="clear" w:color="auto" w:fill="auto"/>
          <w:lang w:val="en-US" w:eastAsia="en-US" w:bidi="en-US"/>
        </w:rPr>
        <w:t xml:space="preserve">of combustion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carbon and hydrogen composing </w:t>
      </w:r>
      <w:r>
        <w:rPr>
          <w:rFonts w:ascii="Times New Roman" w:eastAsia="Times New Roman" w:hAnsi="Times New Roman" w:cs="Times New Roman"/>
          <w:color w:val="000000"/>
          <w:spacing w:val="0"/>
          <w:w w:val="100"/>
          <w:position w:val="0"/>
          <w:shd w:val="clear" w:color="auto" w:fill="auto"/>
          <w:lang w:val="en-US" w:eastAsia="en-US" w:bidi="en-US"/>
        </w:rPr>
        <w:t xml:space="preserve">it is only 256900 cal., the </w:t>
      </w:r>
      <w:r>
        <w:rPr>
          <w:rFonts w:ascii="Times New Roman" w:eastAsia="Times New Roman" w:hAnsi="Times New Roman" w:cs="Times New Roman"/>
          <w:color w:val="000000"/>
          <w:spacing w:val="0"/>
          <w:w w:val="100"/>
          <w:position w:val="0"/>
          <w:shd w:val="clear" w:color="auto" w:fill="auto"/>
          <w:lang w:val="en-US" w:eastAsia="en-US" w:bidi="en-US"/>
        </w:rPr>
        <w:t xml:space="preserve">difference being </w:t>
      </w:r>
      <w:r>
        <w:rPr>
          <w:rFonts w:ascii="Times New Roman" w:eastAsia="Times New Roman" w:hAnsi="Times New Roman" w:cs="Times New Roman"/>
          <w:color w:val="000000"/>
          <w:spacing w:val="0"/>
          <w:w w:val="100"/>
          <w:position w:val="0"/>
          <w:shd w:val="clear" w:color="auto" w:fill="auto"/>
          <w:lang w:val="en-US" w:eastAsia="en-US" w:bidi="en-US"/>
        </w:rPr>
        <w:t xml:space="preserve">equal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negative heat of formation of </w:t>
      </w:r>
      <w:r>
        <w:rPr>
          <w:rFonts w:ascii="Times New Roman" w:eastAsia="Times New Roman" w:hAnsi="Times New Roman" w:cs="Times New Roman"/>
          <w:color w:val="000000"/>
          <w:spacing w:val="0"/>
          <w:w w:val="100"/>
          <w:position w:val="0"/>
          <w:shd w:val="clear" w:color="auto" w:fill="auto"/>
          <w:lang w:val="en-US" w:eastAsia="en-US" w:bidi="en-US"/>
        </w:rPr>
        <w:t>the acetylene.</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substances consisting of </w:t>
      </w:r>
      <w:r>
        <w:rPr>
          <w:rFonts w:ascii="Times New Roman" w:eastAsia="Times New Roman" w:hAnsi="Times New Roman" w:cs="Times New Roman"/>
          <w:color w:val="000000"/>
          <w:spacing w:val="0"/>
          <w:w w:val="100"/>
          <w:position w:val="0"/>
          <w:shd w:val="clear" w:color="auto" w:fill="auto"/>
          <w:lang w:val="en-US" w:eastAsia="en-US" w:bidi="en-US"/>
        </w:rPr>
        <w:t xml:space="preserve">carbon, hydrogen and oxygen, </w:t>
      </w:r>
      <w:r>
        <w:rPr>
          <w:rFonts w:ascii="Times New Roman" w:eastAsia="Times New Roman" w:hAnsi="Times New Roman" w:cs="Times New Roman"/>
          <w:color w:val="000000"/>
          <w:spacing w:val="0"/>
          <w:w w:val="100"/>
          <w:position w:val="0"/>
          <w:shd w:val="clear" w:color="auto" w:fill="auto"/>
          <w:lang w:val="en-US" w:eastAsia="en-US" w:bidi="en-US"/>
        </w:rPr>
        <w:t xml:space="preserve">a rule </w:t>
      </w:r>
      <w:r>
        <w:rPr>
          <w:rFonts w:ascii="Times New Roman" w:eastAsia="Times New Roman" w:hAnsi="Times New Roman" w:cs="Times New Roman"/>
          <w:color w:val="000000"/>
          <w:spacing w:val="0"/>
          <w:w w:val="100"/>
          <w:position w:val="0"/>
          <w:shd w:val="clear" w:color="auto" w:fill="auto"/>
          <w:lang w:val="en-US" w:eastAsia="en-US" w:bidi="en-US"/>
        </w:rPr>
        <w:t xml:space="preserve">was early </w:t>
      </w:r>
      <w:r>
        <w:rPr>
          <w:rFonts w:ascii="Times New Roman" w:eastAsia="Times New Roman" w:hAnsi="Times New Roman" w:cs="Times New Roman"/>
          <w:color w:val="000000"/>
          <w:spacing w:val="0"/>
          <w:w w:val="100"/>
          <w:position w:val="0"/>
          <w:shd w:val="clear" w:color="auto" w:fill="auto"/>
          <w:lang w:val="en-US" w:eastAsia="en-US" w:bidi="en-US"/>
        </w:rPr>
        <w:t xml:space="preserve">devised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purpose of roughly calculating their heat of combustion (J. J. Welter's rule). · The oxygen contained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compound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deducted, together with tne equivalent </w:t>
      </w:r>
      <w:r>
        <w:rPr>
          <w:rFonts w:ascii="Times New Roman" w:eastAsia="Times New Roman" w:hAnsi="Times New Roman" w:cs="Times New Roman"/>
          <w:color w:val="000000"/>
          <w:spacing w:val="0"/>
          <w:w w:val="100"/>
          <w:position w:val="0"/>
          <w:shd w:val="clear" w:color="auto" w:fill="auto"/>
          <w:lang w:val="en-US" w:eastAsia="en-US" w:bidi="en-US"/>
        </w:rPr>
        <w:t xml:space="preserve">amount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hydrogen, and the </w:t>
      </w:r>
      <w:r>
        <w:rPr>
          <w:rFonts w:ascii="Times New Roman" w:eastAsia="Times New Roman" w:hAnsi="Times New Roman" w:cs="Times New Roman"/>
          <w:color w:val="000000"/>
          <w:spacing w:val="0"/>
          <w:w w:val="100"/>
          <w:position w:val="0"/>
          <w:shd w:val="clear" w:color="auto" w:fill="auto"/>
          <w:lang w:val="en-US" w:eastAsia="en-US" w:bidi="en-US"/>
        </w:rPr>
        <w:t xml:space="preserve">heat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combustion of the compound was then taken to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equal to the heats of combustion of the elements in the residue. That the rule is not very accurate may be seen from the following example. Cane-sugar has the formula C12HnOn. According to Welter’s rule, we deduct 11 O with the equivalent amount of hydrogen, namely, 22 H, and are left with the residue 12 C, the heat of combustion of which is 1131600 cal. The observed heat of combustion of sugar is, however, 1354000, so that the error of the rule is here 20 per cent. A much better approximation to the heat of combustion of such substances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obtained by deducting the oxygen together with the amount of carbon necessary to form 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then ascertaining the amount of heat produced by the residual carbon and hydrogen. In the above case wc should deduct with 11 O the equivalent amount of carbon 5∙5 C, thus obtaining the residue 6∙5 C and 22 H. These when burnt would yield (6∙5×94300) + (ι 1 ×68300) = 1364250 cal., an amount which is less than 1 per cent, different from the observed heat of combustion of sugar. Neither of the above rules can be applied to carbon compounds containing nitrogen.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rFonts w:ascii="Times New Roman" w:eastAsia="Times New Roman" w:hAnsi="Times New Roman" w:cs="Times New Roman"/>
          <w:i/>
          <w:iCs/>
          <w:color w:val="000000"/>
          <w:spacing w:val="0"/>
          <w:w w:val="100"/>
          <w:position w:val="0"/>
          <w:shd w:val="clear" w:color="auto" w:fill="auto"/>
          <w:lang w:val="en-US" w:eastAsia="en-US" w:bidi="en-US"/>
        </w:rPr>
        <w:t>Heat of Neutralization.</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It has already been stated that the heats of neutralization of acids and bases in aqueous solution are additively composed of two terms, one being constant for a given base, the other constant for a given acid. In addition to this, the further regularity has been observed that when the powerful monobasic acids are neutralized by the powerful monacid bases, the heat of neutralization is in all cases the same. The following table gives the heats of neutralization of the commoner strong monobasic acids with soda:—</w:t>
      </w:r>
    </w:p>
    <w:p>
      <w:pPr>
        <w:pStyle w:val="Style6"/>
        <w:keepNext w:val="0"/>
        <w:keepLines w:val="0"/>
        <w:widowControl w:val="0"/>
        <w:shd w:val="clear" w:color="auto" w:fill="auto"/>
        <w:tabs>
          <w:tab w:pos="2100" w:val="center"/>
          <w:tab w:pos="2261" w:val="left"/>
          <w:tab w:pos="2793" w:val="left"/>
          <w:tab w:pos="3121" w:val="left"/>
          <w:tab w:pos="3492" w:val="left"/>
          <w:tab w:pos="3931" w:val="center"/>
          <w:tab w:pos="4396" w:val="righ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Hydrochloric acid</w:t>
        <w:tab/>
        <w:t>.</w:t>
        <w:tab/>
        <w:t>HCl</w:t>
        <w:tab/>
        <w:t>.</w:t>
        <w:tab/>
      </w:r>
      <w:r>
        <w:rPr>
          <w:rFonts w:ascii="Times New Roman" w:eastAsia="Times New Roman" w:hAnsi="Times New Roman" w:cs="Times New Roman"/>
          <w:color w:val="000000"/>
          <w:spacing w:val="0"/>
          <w:w w:val="100"/>
          <w:position w:val="0"/>
          <w:shd w:val="clear" w:color="auto" w:fill="auto"/>
          <w:lang w:val="en-US" w:eastAsia="en-US" w:bidi="en-US"/>
        </w:rPr>
        <w:t>.</w:t>
        <w:tab/>
        <w:t>.</w:t>
        <w:tab/>
      </w:r>
      <w:r>
        <w:rPr>
          <w:rFonts w:ascii="Times New Roman" w:eastAsia="Times New Roman" w:hAnsi="Times New Roman" w:cs="Times New Roman"/>
          <w:color w:val="000000"/>
          <w:spacing w:val="0"/>
          <w:w w:val="100"/>
          <w:position w:val="0"/>
          <w:shd w:val="clear" w:color="auto" w:fill="auto"/>
          <w:lang w:val="en-US" w:eastAsia="en-US" w:bidi="en-US"/>
        </w:rPr>
        <w:t>137400</w:t>
        <w:tab/>
        <w:t>cal.</w:t>
      </w:r>
    </w:p>
    <w:p>
      <w:pPr>
        <w:pStyle w:val="Style6"/>
        <w:keepNext w:val="0"/>
        <w:keepLines w:val="0"/>
        <w:widowControl w:val="0"/>
        <w:shd w:val="clear" w:color="auto" w:fill="auto"/>
        <w:tabs>
          <w:tab w:pos="2100" w:val="center"/>
          <w:tab w:pos="2265" w:val="left"/>
          <w:tab w:pos="2793" w:val="left"/>
          <w:tab w:pos="3121" w:val="left"/>
          <w:tab w:pos="3931" w:val="center"/>
          <w:tab w:pos="4396" w:val="righ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Hydrobromic </w:t>
      </w:r>
      <w:r>
        <w:rPr>
          <w:rFonts w:ascii="Times New Roman" w:eastAsia="Times New Roman" w:hAnsi="Times New Roman" w:cs="Times New Roman"/>
          <w:color w:val="000000"/>
          <w:spacing w:val="0"/>
          <w:w w:val="100"/>
          <w:position w:val="0"/>
          <w:shd w:val="clear" w:color="auto" w:fill="auto"/>
          <w:lang w:val="en-US" w:eastAsia="en-US" w:bidi="en-US"/>
        </w:rPr>
        <w:t>acid</w:t>
        <w:tab/>
      </w:r>
      <w:r>
        <w:rPr>
          <w:rFonts w:ascii="Times New Roman" w:eastAsia="Times New Roman" w:hAnsi="Times New Roman" w:cs="Times New Roman"/>
          <w:color w:val="000000"/>
          <w:spacing w:val="0"/>
          <w:w w:val="100"/>
          <w:position w:val="0"/>
          <w:shd w:val="clear" w:color="auto" w:fill="auto"/>
          <w:lang w:val="en-US" w:eastAsia="en-US" w:bidi="en-US"/>
        </w:rPr>
        <w:t>.</w:t>
        <w:tab/>
        <w:t>HBr</w:t>
        <w:tab/>
        <w:t>.</w:t>
        <w:tab/>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375θθ</w:t>
        <w:tab/>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6"/>
        <w:keepNext w:val="0"/>
        <w:keepLines w:val="0"/>
        <w:widowControl w:val="0"/>
        <w:shd w:val="clear" w:color="auto" w:fill="auto"/>
        <w:tabs>
          <w:tab w:pos="2100" w:val="center"/>
          <w:tab w:pos="2265" w:val="left"/>
          <w:tab w:pos="2793" w:val="left"/>
          <w:tab w:pos="3121" w:val="left"/>
          <w:tab w:pos="3492" w:val="left"/>
          <w:tab w:pos="3931" w:val="center"/>
          <w:tab w:pos="4396" w:val="righ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Hydriodic acid .</w:t>
        <w:tab/>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lang w:val="en-US" w:eastAsia="en-US" w:bidi="en-US"/>
        </w:rPr>
        <w:t>HI</w:t>
        <w:tab/>
        <w:t>.</w:t>
        <w:tab/>
        <w:t>.</w:t>
        <w:tab/>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lang w:val="en-US" w:eastAsia="en-US" w:bidi="en-US"/>
        </w:rPr>
        <w:t>136800</w:t>
        <w:tab/>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6"/>
        <w:keepNext w:val="0"/>
        <w:keepLines w:val="0"/>
        <w:widowControl w:val="0"/>
        <w:shd w:val="clear" w:color="auto" w:fill="auto"/>
        <w:tabs>
          <w:tab w:pos="2100" w:val="center"/>
          <w:tab w:pos="2261" w:val="left"/>
          <w:tab w:pos="3121" w:val="left"/>
          <w:tab w:pos="3492" w:val="left"/>
          <w:tab w:pos="3931" w:val="center"/>
          <w:tab w:pos="4396" w:val="righ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Nitric acid .</w:t>
        <w:tab/>
        <w:t>.</w:t>
        <w:tab/>
        <w:t>HNO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w:t>
        <w:tab/>
        <w:t>.</w:t>
        <w:tab/>
        <w:t>136800</w:t>
        <w:tab/>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6"/>
        <w:keepNext w:val="0"/>
        <w:keepLines w:val="0"/>
        <w:widowControl w:val="0"/>
        <w:shd w:val="clear" w:color="auto" w:fill="auto"/>
        <w:tabs>
          <w:tab w:pos="2239" w:val="left"/>
          <w:tab w:pos="3121" w:val="left"/>
          <w:tab w:pos="3691"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Chloric acid</w:t>
        <w:tab/>
        <w:t>HC10</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w:t>
        <w:tab/>
        <w:t xml:space="preserve">137600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tabs>
          <w:tab w:pos="2239" w:val="left"/>
          <w:tab w:pos="3121" w:val="left"/>
          <w:tab w:pos="3691"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Bromic acid</w:t>
        <w:tab/>
        <w:t>HBrO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w:t>
        <w:tab/>
        <w:t>137800 ,,</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Within the error of experiment these numbers are identical.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at one time thought that the greater the heat of neutralization of an acid with a given base, the greater was the strength of the acid. It is now known, however, that when weak acids or bases are used, the heat of neutralization may be either greater or less than the normal value for powerful acids and bases, so that there is no proportionality, or even parallelism, between the strengths of acids and their heats of neutralization (see </w:t>
      </w:r>
      <w:r>
        <w:rPr>
          <w:rFonts w:ascii="Times New Roman" w:eastAsia="Times New Roman" w:hAnsi="Times New Roman" w:cs="Times New Roman"/>
          <w:smallCaps/>
          <w:color w:val="000000"/>
          <w:spacing w:val="0"/>
          <w:w w:val="100"/>
          <w:position w:val="0"/>
          <w:shd w:val="clear" w:color="auto" w:fill="auto"/>
          <w:lang w:val="en-US" w:eastAsia="en-US" w:bidi="en-US"/>
        </w:rPr>
        <w:t>Solutions).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9. </w:t>
      </w:r>
      <w:r>
        <w:rPr>
          <w:rFonts w:ascii="Times New Roman" w:eastAsia="Times New Roman" w:hAnsi="Times New Roman" w:cs="Times New Roman"/>
          <w:i/>
          <w:iCs/>
          <w:color w:val="000000"/>
          <w:spacing w:val="0"/>
          <w:w w:val="100"/>
          <w:position w:val="0"/>
          <w:shd w:val="clear" w:color="auto" w:fill="auto"/>
          <w:lang w:val="en-US" w:eastAsia="en-US" w:bidi="en-US"/>
        </w:rPr>
        <w:t>Heat of Solution.—</w:t>
      </w:r>
      <w:r>
        <w:rPr>
          <w:rFonts w:ascii="Times New Roman" w:eastAsia="Times New Roman" w:hAnsi="Times New Roman" w:cs="Times New Roman"/>
          <w:color w:val="000000"/>
          <w:spacing w:val="0"/>
          <w:w w:val="100"/>
          <w:position w:val="0"/>
          <w:shd w:val="clear" w:color="auto" w:fill="auto"/>
          <w:lang w:val="en-US" w:eastAsia="en-US" w:bidi="en-US"/>
        </w:rPr>
        <w:t xml:space="preserve">When substances readily combine with water to form hydrates, the heat of solution in water is usually positive; when, on the other hand, they do not readily form hydrates, or when they are already hydrated, the heat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solution is usually negative. The following examples show the effect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hydration on heat of solution in a large quantity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water:</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Heat oí Solution. Heat </w:t>
      </w:r>
      <w:r>
        <w:rPr>
          <w:rFonts w:ascii="Times New Roman" w:eastAsia="Times New Roman" w:hAnsi="Times New Roman" w:cs="Times New Roman"/>
          <w:color w:val="000000"/>
          <w:spacing w:val="0"/>
          <w:w w:val="100"/>
          <w:position w:val="0"/>
          <w:shd w:val="clear" w:color="auto" w:fill="auto"/>
          <w:lang w:val="en-US" w:eastAsia="en-US" w:bidi="en-US"/>
        </w:rPr>
        <w:t xml:space="preserve">oí </w:t>
      </w:r>
      <w:r>
        <w:rPr>
          <w:rFonts w:ascii="Times New Roman" w:eastAsia="Times New Roman" w:hAnsi="Times New Roman" w:cs="Times New Roman"/>
          <w:color w:val="000000"/>
          <w:spacing w:val="0"/>
          <w:w w:val="100"/>
          <w:position w:val="0"/>
          <w:shd w:val="clear" w:color="auto" w:fill="auto"/>
          <w:lang w:val="en-US" w:eastAsia="en-US" w:bidi="en-US"/>
        </w:rPr>
        <w:t>Hydration.</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Sodium </w:t>
      </w:r>
      <w:r>
        <w:rPr>
          <w:rFonts w:ascii="Times New Roman" w:eastAsia="Times New Roman" w:hAnsi="Times New Roman" w:cs="Times New Roman"/>
          <w:color w:val="000000"/>
          <w:spacing w:val="0"/>
          <w:w w:val="100"/>
          <w:position w:val="0"/>
          <w:shd w:val="clear" w:color="auto" w:fill="auto"/>
          <w:lang w:val="en-US" w:eastAsia="en-US" w:bidi="en-US"/>
        </w:rPr>
        <w:t>carbonate—</w:t>
      </w:r>
    </w:p>
    <w:p>
      <w:pPr>
        <w:pStyle w:val="Style6"/>
        <w:keepNext w:val="0"/>
        <w:keepLines w:val="0"/>
        <w:widowControl w:val="0"/>
        <w:shd w:val="clear" w:color="auto" w:fill="auto"/>
        <w:tabs>
          <w:tab w:pos="1438" w:val="left"/>
          <w:tab w:pos="1817" w:val="right"/>
          <w:tab w:pos="2791" w:val="right"/>
          <w:tab w:pos="2935" w:val="center"/>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lang w:val="en-US" w:eastAsia="en-US" w:bidi="en-US"/>
        </w:rPr>
        <w:t>+5640</w:t>
        <w:tab/>
        <w:t>cal.</w:t>
      </w:r>
    </w:p>
    <w:p>
      <w:pPr>
        <w:pStyle w:val="Style6"/>
        <w:keepNext w:val="0"/>
        <w:keepLines w:val="0"/>
        <w:widowControl w:val="0"/>
        <w:shd w:val="clear" w:color="auto" w:fill="auto"/>
        <w:tabs>
          <w:tab w:pos="1817" w:val="right"/>
          <w:tab w:pos="2791" w:val="right"/>
          <w:tab w:pos="2934" w:val="center"/>
          <w:tab w:pos="3931" w:val="center"/>
          <w:tab w:pos="4396" w:val="righ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H2O</w:t>
        <w:tab/>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lang w:val="en-US" w:eastAsia="en-US" w:bidi="en-US"/>
        </w:rPr>
        <w:t>+2250</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+3390</w:t>
        <w:tab/>
        <w:t>cal.</w:t>
      </w:r>
    </w:p>
    <w:p>
      <w:pPr>
        <w:pStyle w:val="Style6"/>
        <w:keepNext w:val="0"/>
        <w:keepLines w:val="0"/>
        <w:widowControl w:val="0"/>
        <w:shd w:val="clear" w:color="auto" w:fill="auto"/>
        <w:tabs>
          <w:tab w:pos="2791" w:val="right"/>
          <w:tab w:pos="2930" w:val="center"/>
          <w:tab w:pos="3931" w:val="center"/>
          <w:tab w:pos="4396" w:val="righ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2H2O .</w:t>
        <w:tab/>
        <w:t>+20</w:t>
        <w:tab/>
        <w:t>,,</w:t>
        <w:tab/>
        <w:t>+5620</w:t>
        <w:tab/>
        <w:t>,,</w:t>
      </w:r>
    </w:p>
    <w:p>
      <w:pPr>
        <w:pStyle w:val="Style6"/>
        <w:keepNext w:val="0"/>
        <w:keepLines w:val="0"/>
        <w:widowControl w:val="0"/>
        <w:shd w:val="clear" w:color="auto" w:fill="auto"/>
        <w:tabs>
          <w:tab w:pos="2791" w:val="right"/>
          <w:tab w:pos="2939" w:val="center"/>
          <w:tab w:pos="3931" w:val="center"/>
          <w:tab w:pos="4396" w:val="righ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ιoII</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tab/>
        <w:t>—16160</w:t>
        <w:tab/>
        <w:t>,,</w:t>
        <w:tab/>
        <w:t>+21800</w:t>
        <w:tab/>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Sodium </w:t>
      </w:r>
      <w:r>
        <w:rPr>
          <w:rFonts w:ascii="Times New Roman" w:eastAsia="Times New Roman" w:hAnsi="Times New Roman" w:cs="Times New Roman"/>
          <w:color w:val="000000"/>
          <w:spacing w:val="0"/>
          <w:w w:val="100"/>
          <w:position w:val="0"/>
          <w:shd w:val="clear" w:color="auto" w:fill="auto"/>
          <w:lang w:val="en-US" w:eastAsia="en-US" w:bidi="en-US"/>
        </w:rPr>
        <w:t>sulphate—</w:t>
      </w:r>
    </w:p>
    <w:p>
      <w:pPr>
        <w:pStyle w:val="Style6"/>
        <w:keepNext w:val="0"/>
        <w:keepLines w:val="0"/>
        <w:widowControl w:val="0"/>
        <w:shd w:val="clear" w:color="auto" w:fill="auto"/>
        <w:tabs>
          <w:tab w:pos="1438" w:val="left"/>
          <w:tab w:pos="2239"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w:t>
        <w:tab/>
        <w:t>+460 cal.</w:t>
      </w:r>
    </w:p>
    <w:p>
      <w:pPr>
        <w:pStyle w:val="Style6"/>
        <w:keepNext w:val="0"/>
        <w:keepLines w:val="0"/>
        <w:widowControl w:val="0"/>
        <w:shd w:val="clear" w:color="auto" w:fill="auto"/>
        <w:tabs>
          <w:tab w:pos="2239" w:val="left"/>
          <w:tab w:pos="3492"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SC)</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II</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tab/>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1900 </w:t>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+2360 cal.</w:t>
      </w:r>
    </w:p>
    <w:p>
      <w:pPr>
        <w:pStyle w:val="Style6"/>
        <w:keepNext w:val="0"/>
        <w:keepLines w:val="0"/>
        <w:widowControl w:val="0"/>
        <w:shd w:val="clear" w:color="auto" w:fill="auto"/>
        <w:tabs>
          <w:tab w:pos="2239" w:val="left"/>
          <w:tab w:pos="3492"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SO&lt;,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ioH</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 xml:space="preserve">—18760 </w:t>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 xml:space="preserve">+19200 </w:t>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10. </w:t>
      </w:r>
      <w:r>
        <w:rPr>
          <w:rFonts w:ascii="Times New Roman" w:eastAsia="Times New Roman" w:hAnsi="Times New Roman" w:cs="Times New Roman"/>
          <w:i/>
          <w:iCs/>
          <w:color w:val="000000"/>
          <w:spacing w:val="0"/>
          <w:w w:val="100"/>
          <w:position w:val="0"/>
          <w:shd w:val="clear" w:color="auto" w:fill="auto"/>
          <w:lang w:val="en-US" w:eastAsia="en-US" w:bidi="en-US"/>
        </w:rPr>
        <w:t xml:space="preserve">Application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Second Law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Thermodynamics to Thermochemistry</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What is commonly understood by thermo</w:t>
        <w:softHyphen/>
        <w:t xml:space="preserve">chemistry </w:t>
      </w:r>
      <w:r>
        <w:rPr>
          <w:rFonts w:ascii="Times New Roman" w:eastAsia="Times New Roman" w:hAnsi="Times New Roman" w:cs="Times New Roman"/>
          <w:color w:val="000000"/>
          <w:spacing w:val="0"/>
          <w:w w:val="100"/>
          <w:position w:val="0"/>
          <w:shd w:val="clear" w:color="auto" w:fill="auto"/>
          <w:lang w:val="en-US" w:eastAsia="en-US" w:bidi="en-US"/>
        </w:rPr>
        <w:t xml:space="preserve">is based entirely </w:t>
      </w:r>
      <w:r>
        <w:rPr>
          <w:rFonts w:ascii="Times New Roman" w:eastAsia="Times New Roman" w:hAnsi="Times New Roman" w:cs="Times New Roman"/>
          <w:color w:val="000000"/>
          <w:spacing w:val="0"/>
          <w:w w:val="100"/>
          <w:position w:val="0"/>
          <w:shd w:val="clear" w:color="auto" w:fill="auto"/>
          <w:lang w:val="en-US" w:eastAsia="en-US" w:bidi="en-US"/>
        </w:rPr>
        <w:t xml:space="preserve">on the first law of thermodynamics, </w:t>
      </w:r>
      <w:r>
        <w:rPr>
          <w:rFonts w:ascii="Times New Roman" w:eastAsia="Times New Roman" w:hAnsi="Times New Roman" w:cs="Times New Roman"/>
          <w:color w:val="000000"/>
          <w:spacing w:val="0"/>
          <w:w w:val="100"/>
          <w:position w:val="0"/>
          <w:shd w:val="clear" w:color="auto" w:fill="auto"/>
          <w:lang w:val="en-US" w:eastAsia="en-US" w:bidi="en-US"/>
        </w:rPr>
        <w:t xml:space="preserve">but of recent years great </w:t>
      </w:r>
      <w:r>
        <w:rPr>
          <w:rFonts w:ascii="Times New Roman" w:eastAsia="Times New Roman" w:hAnsi="Times New Roman" w:cs="Times New Roman"/>
          <w:color w:val="000000"/>
          <w:spacing w:val="0"/>
          <w:w w:val="100"/>
          <w:position w:val="0"/>
          <w:shd w:val="clear" w:color="auto" w:fill="auto"/>
          <w:lang w:val="en-US" w:eastAsia="en-US" w:bidi="en-US"/>
        </w:rPr>
        <w:t xml:space="preserve">progress has been made in the study </w:t>
      </w:r>
      <w:r>
        <w:rPr>
          <w:rFonts w:ascii="Times New Roman" w:eastAsia="Times New Roman" w:hAnsi="Times New Roman" w:cs="Times New Roman"/>
          <w:color w:val="000000"/>
          <w:spacing w:val="0"/>
          <w:w w:val="100"/>
          <w:position w:val="0"/>
          <w:shd w:val="clear" w:color="auto" w:fill="auto"/>
          <w:lang w:val="en-US" w:eastAsia="en-US" w:bidi="en-US"/>
        </w:rPr>
        <w:t xml:space="preserve">of chemical equilibrium by the application of the second law. For an account of work in this direction see </w:t>
      </w:r>
      <w:r>
        <w:rPr>
          <w:rFonts w:ascii="Times New Roman" w:eastAsia="Times New Roman" w:hAnsi="Times New Roman" w:cs="Times New Roman"/>
          <w:smallCaps/>
          <w:color w:val="000000"/>
          <w:spacing w:val="0"/>
          <w:w w:val="100"/>
          <w:position w:val="0"/>
          <w:shd w:val="clear" w:color="auto" w:fill="auto"/>
          <w:lang w:val="en-US" w:eastAsia="en-US" w:bidi="en-US"/>
        </w:rPr>
        <w:t>Chemical Action.</w:t>
      </w:r>
    </w:p>
    <w:p>
      <w:pPr>
        <w:pStyle w:val="Style6"/>
        <w:keepNext w:val="0"/>
        <w:keepLines w:val="0"/>
        <w:widowControl w:val="0"/>
        <w:shd w:val="clear" w:color="auto" w:fill="auto"/>
        <w:tabs>
          <w:tab w:pos="3999" w:val="left"/>
        </w:tabs>
        <w:bidi w:val="0"/>
        <w:spacing w:line="194"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—Julius Thomsen,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Thermochemische Untersuch</w:t>
        <w:softHyphen/>
        <w:t>ungen</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(Leipzig, 1882-86); Μ. Berthelot,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Essai de Mécanique Chimique fondée sur la Thermochimie</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(Paris, 1879);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Thermochimie, données et lois numériques</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(Paris, 1897); W.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Ostwald,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Lehrbuch der allgemeinen Chemie,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2nd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cd.,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vol. iι. part 1,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pp.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1-517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(Leipzig, 1893); </w:t>
      </w:r>
      <w:r>
        <w:rPr>
          <w:rFonts w:ascii="Times New Roman" w:eastAsia="Times New Roman" w:hAnsi="Times New Roman" w:cs="Times New Roman"/>
          <w:color w:val="000000"/>
          <w:spacing w:val="0"/>
          <w:w w:val="100"/>
          <w:position w:val="0"/>
          <w:sz w:val="16"/>
          <w:szCs w:val="16"/>
          <w:shd w:val="clear" w:color="auto" w:fill="auto"/>
          <w:lang w:val="el-GR" w:eastAsia="el-GR" w:bidi="el-GR"/>
        </w:rPr>
        <w:t xml:space="preserve">Μ. Μ.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P.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Muir and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D. Μ. Wilson,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Elements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Thermal Chemistry</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(London, 1885);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Duhem,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Traité de Mécanique Chimique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(Paris, 1897-99);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J.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J. van Laar,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Lehrbuch der mathematischen Chemie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6"/>
          <w:szCs w:val="16"/>
          <w:shd w:val="clear" w:color="auto" w:fill="auto"/>
          <w:lang w:val="en-US" w:eastAsia="en-US" w:bidi="en-US"/>
        </w:rPr>
        <w:t>1901).</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(J.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Wal.)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THERMODYNAMICS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de-DE" w:eastAsia="de-DE" w:bidi="de-DE"/>
        </w:rPr>
        <w:t xml:space="preserve">Gr. </w:t>
      </w:r>
      <w:r>
        <w:rPr>
          <w:rFonts w:ascii="Times New Roman" w:eastAsia="Times New Roman" w:hAnsi="Times New Roman" w:cs="Times New Roman"/>
          <w:i/>
          <w:iCs/>
          <w:color w:val="000000"/>
          <w:spacing w:val="0"/>
          <w:w w:val="100"/>
          <w:position w:val="0"/>
          <w:shd w:val="clear" w:color="auto" w:fill="auto"/>
          <w:lang w:val="en-US" w:eastAsia="en-US" w:bidi="en-US"/>
        </w:rPr>
        <w:t>θepμbs,</w:t>
      </w:r>
      <w:r>
        <w:rPr>
          <w:rFonts w:ascii="Times New Roman" w:eastAsia="Times New Roman" w:hAnsi="Times New Roman" w:cs="Times New Roman"/>
          <w:color w:val="000000"/>
          <w:spacing w:val="0"/>
          <w:w w:val="100"/>
          <w:position w:val="0"/>
          <w:shd w:val="clear" w:color="auto" w:fill="auto"/>
          <w:lang w:val="en-US" w:eastAsia="en-US" w:bidi="en-US"/>
        </w:rPr>
        <w:t xml:space="preserve"> hot, </w:t>
      </w:r>
      <w:r>
        <w:rPr>
          <w:rFonts w:ascii="Times New Roman" w:eastAsia="Times New Roman" w:hAnsi="Times New Roman" w:cs="Times New Roman"/>
          <w:i/>
          <w:iCs/>
          <w:color w:val="000000"/>
          <w:spacing w:val="0"/>
          <w:w w:val="100"/>
          <w:position w:val="0"/>
          <w:shd w:val="clear" w:color="auto" w:fill="auto"/>
          <w:lang w:val="en-US" w:eastAsia="en-US" w:bidi="en-US"/>
        </w:rPr>
        <w:t>δυvaμιs,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force).</w:t>
      </w:r>
    </w:p>
    <w:p>
      <w:pPr>
        <w:pStyle w:val="Style3"/>
        <w:keepNext w:val="0"/>
        <w:keepLines w:val="0"/>
        <w:widowControl w:val="0"/>
        <w:shd w:val="clear" w:color="auto" w:fill="auto"/>
        <w:tabs>
          <w:tab w:pos="265"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name thermodynamics is given to that branch of the general science of Energetics which deals with the relations between thermal and mechanical energy, and the transforma</w:t>
        <w:softHyphen/>
        <w:t xml:space="preserve">tions of heat into work, and vice versa. Other transformations of heat are often included under the same title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Energetics). </w:t>
      </w:r>
      <w:r>
        <w:rPr>
          <w:rFonts w:ascii="Times New Roman" w:eastAsia="Times New Roman" w:hAnsi="Times New Roman" w:cs="Times New Roman"/>
          <w:color w:val="000000"/>
          <w:spacing w:val="0"/>
          <w:w w:val="100"/>
          <w:position w:val="0"/>
          <w:shd w:val="clear" w:color="auto" w:fill="auto"/>
          <w:lang w:val="en-US" w:eastAsia="en-US" w:bidi="en-US"/>
        </w:rPr>
        <w:t xml:space="preserve">An historical account of the development of thermodynamics is given in the article </w:t>
      </w:r>
      <w:r>
        <w:rPr>
          <w:rFonts w:ascii="Times New Roman" w:eastAsia="Times New Roman" w:hAnsi="Times New Roman" w:cs="Times New Roman"/>
          <w:smallCaps/>
          <w:color w:val="000000"/>
          <w:spacing w:val="0"/>
          <w:w w:val="100"/>
          <w:position w:val="0"/>
          <w:shd w:val="clear" w:color="auto" w:fill="auto"/>
          <w:lang w:val="en-US" w:eastAsia="en-US" w:bidi="en-US"/>
        </w:rPr>
        <w:t>Heat.</w:t>
      </w:r>
      <w:r>
        <w:rPr>
          <w:rFonts w:ascii="Times New Roman" w:eastAsia="Times New Roman" w:hAnsi="Times New Roman" w:cs="Times New Roman"/>
          <w:color w:val="000000"/>
          <w:spacing w:val="0"/>
          <w:w w:val="100"/>
          <w:position w:val="0"/>
          <w:shd w:val="clear" w:color="auto" w:fill="auto"/>
          <w:lang w:val="en-US" w:eastAsia="en-US" w:bidi="en-US"/>
        </w:rPr>
        <w:t xml:space="preserve"> The object of the present article is to illustrate the practical application of the two general principles— (1) Joule’s law of the equivalence of heat and work, and (2) Carnot’s principle, that the efficiency of a reversible engine depends only on the temperatures between which it works; these principles are commonly known as the first and second laws of thermodynamics. The application will necessarily be confined to simple cases such as are commonly met with in practice, or are required for reference in cognate subjects.</w:t>
      </w:r>
    </w:p>
    <w:p>
      <w:pPr>
        <w:pStyle w:val="Style3"/>
        <w:keepNext w:val="0"/>
        <w:keepLines w:val="0"/>
        <w:widowControl w:val="0"/>
        <w:shd w:val="clear" w:color="auto" w:fill="auto"/>
        <w:tabs>
          <w:tab w:pos="437"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Application of the First Law.—</w:t>
      </w:r>
      <w:r>
        <w:rPr>
          <w:rFonts w:ascii="Times New Roman" w:eastAsia="Times New Roman" w:hAnsi="Times New Roman" w:cs="Times New Roman"/>
          <w:color w:val="000000"/>
          <w:spacing w:val="0"/>
          <w:w w:val="100"/>
          <w:position w:val="0"/>
          <w:shd w:val="clear" w:color="auto" w:fill="auto"/>
          <w:lang w:val="en-US" w:eastAsia="en-US" w:bidi="en-US"/>
        </w:rPr>
        <w:t>The complete transforma</w:t>
        <w:softHyphen/>
        <w:t>tion of mechanical energy into heat by friction, or some analogous process of degradation, is always possible, and is made the basis of experiments for the determination of the mechanical equi</w:t>
        <w:softHyphen/>
        <w:t xml:space="preserve">valent of the heat unit (see </w:t>
      </w:r>
      <w:r>
        <w:rPr>
          <w:rFonts w:ascii="Times New Roman" w:eastAsia="Times New Roman" w:hAnsi="Times New Roman" w:cs="Times New Roman"/>
          <w:smallCaps/>
          <w:color w:val="000000"/>
          <w:spacing w:val="0"/>
          <w:w w:val="100"/>
          <w:position w:val="0"/>
          <w:shd w:val="clear" w:color="auto" w:fill="auto"/>
          <w:lang w:val="en-US" w:eastAsia="en-US" w:bidi="en-US"/>
        </w:rPr>
        <w:t>Calorimetry).</w:t>
      </w:r>
      <w:r>
        <w:rPr>
          <w:rFonts w:ascii="Times New Roman" w:eastAsia="Times New Roman" w:hAnsi="Times New Roman" w:cs="Times New Roman"/>
          <w:color w:val="000000"/>
          <w:spacing w:val="0"/>
          <w:w w:val="100"/>
          <w:position w:val="0"/>
          <w:shd w:val="clear" w:color="auto" w:fill="auto"/>
          <w:lang w:val="en-US" w:eastAsia="en-US" w:bidi="en-US"/>
        </w:rPr>
        <w:t xml:space="preserve"> The converse pro</w:t>
        <w:softHyphen/>
        <w:t>cess of the transformation of heat into mechanical work or other forms of energy is subject to limitations.</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quantity of heat, </w:t>
      </w:r>
      <w:r>
        <w:rPr>
          <w:rFonts w:ascii="Times New Roman" w:eastAsia="Times New Roman" w:hAnsi="Times New Roman" w:cs="Times New Roman"/>
          <w:i/>
          <w:iCs/>
          <w:color w:val="000000"/>
          <w:spacing w:val="0"/>
          <w:w w:val="100"/>
          <w:position w:val="0"/>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is supplied to a body, part is expended in raising the temperature of the body, or in expanding the volume against molecular forces, and is represented by an increase in the total quantity of energy contained in the body, which is generally called its </w:t>
      </w:r>
      <w:r>
        <w:rPr>
          <w:rFonts w:ascii="Times New Roman" w:eastAsia="Times New Roman" w:hAnsi="Times New Roman" w:cs="Times New Roman"/>
          <w:i/>
          <w:iCs/>
          <w:color w:val="000000"/>
          <w:spacing w:val="0"/>
          <w:w w:val="100"/>
          <w:position w:val="0"/>
          <w:shd w:val="clear" w:color="auto" w:fill="auto"/>
          <w:lang w:val="en-US" w:eastAsia="en-US" w:bidi="en-US"/>
        </w:rPr>
        <w:t>Intrinsic Energy,</w:t>
      </w:r>
      <w:r>
        <w:rPr>
          <w:rFonts w:ascii="Times New Roman" w:eastAsia="Times New Roman" w:hAnsi="Times New Roman" w:cs="Times New Roman"/>
          <w:color w:val="000000"/>
          <w:spacing w:val="0"/>
          <w:w w:val="100"/>
          <w:position w:val="0"/>
          <w:shd w:val="clear" w:color="auto" w:fill="auto"/>
          <w:lang w:val="en-US" w:eastAsia="en-US" w:bidi="en-US"/>
        </w:rPr>
        <w:t xml:space="preserve"> and will be denoted by the symbol E. The remainder is equivalent to the external work,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done </w:t>
      </w:r>
      <w:r>
        <w:rPr>
          <w:rFonts w:ascii="Times New Roman" w:eastAsia="Times New Roman" w:hAnsi="Times New Roman" w:cs="Times New Roman"/>
          <w:i/>
          <w:iCs/>
          <w:color w:val="000000"/>
          <w:spacing w:val="0"/>
          <w:w w:val="100"/>
          <w:position w:val="0"/>
          <w:shd w:val="clear" w:color="auto" w:fill="auto"/>
          <w:lang w:val="en-US" w:eastAsia="en-US" w:bidi="en-US"/>
        </w:rPr>
        <w:t>by</w:t>
      </w:r>
      <w:r>
        <w:rPr>
          <w:rFonts w:ascii="Times New Roman" w:eastAsia="Times New Roman" w:hAnsi="Times New Roman" w:cs="Times New Roman"/>
          <w:color w:val="000000"/>
          <w:spacing w:val="0"/>
          <w:w w:val="100"/>
          <w:position w:val="0"/>
          <w:shd w:val="clear" w:color="auto" w:fill="auto"/>
          <w:lang w:val="en-US" w:eastAsia="en-US" w:bidi="en-US"/>
        </w:rPr>
        <w:t xml:space="preserve"> the body in expanding or otherwise, which can be utilized for mechanical purposes, and ceases to exist as heat in the body. The application of the first law leads immediately to the equation,</w:t>
      </w:r>
    </w:p>
    <w:p>
      <w:pPr>
        <w:pStyle w:val="Style6"/>
        <w:keepNext w:val="0"/>
        <w:keepLines w:val="0"/>
        <w:widowControl w:val="0"/>
        <w:shd w:val="clear" w:color="auto" w:fill="auto"/>
        <w:tabs>
          <w:tab w:leader="dot" w:pos="3015" w:val="right"/>
        </w:tabs>
        <w:bidi w:val="0"/>
        <w:spacing w:line="197" w:lineRule="auto"/>
        <w:ind w:left="0" w:firstLine="0"/>
        <w:jc w:val="left"/>
        <w:rPr>
          <w:sz w:val="18"/>
          <w:szCs w:val="18"/>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II≈E-Eo+W,</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(ι)</w:t>
      </w:r>
    </w:p>
    <w:p>
      <w:pPr>
        <w:pStyle w:val="Style6"/>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which Eα represents the quantity of energy originally present in the body, and all the quantities are supposed, as usual, to be expressed in mechanical units. This equation is generally true for any series of transformations, provided that we regard </w:t>
      </w:r>
      <w:r>
        <w:rPr>
          <w:rFonts w:ascii="Times New Roman" w:eastAsia="Times New Roman" w:hAnsi="Times New Roman" w:cs="Times New Roman"/>
          <w:i/>
          <w:iCs/>
          <w:color w:val="000000"/>
          <w:spacing w:val="0"/>
          <w:w w:val="100"/>
          <w:position w:val="0"/>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as representing the </w:t>
      </w:r>
      <w:r>
        <w:rPr>
          <w:rFonts w:ascii="Times New Roman" w:eastAsia="Times New Roman" w:hAnsi="Times New Roman" w:cs="Times New Roman"/>
          <w:i/>
          <w:iCs/>
          <w:color w:val="000000"/>
          <w:spacing w:val="0"/>
          <w:w w:val="100"/>
          <w:position w:val="0"/>
          <w:shd w:val="clear" w:color="auto" w:fill="auto"/>
          <w:lang w:val="en-US" w:eastAsia="en-US" w:bidi="en-US"/>
        </w:rPr>
        <w:t>algebraic sums</w:t>
      </w:r>
      <w:r>
        <w:rPr>
          <w:rFonts w:ascii="Times New Roman" w:eastAsia="Times New Roman" w:hAnsi="Times New Roman" w:cs="Times New Roman"/>
          <w:color w:val="000000"/>
          <w:spacing w:val="0"/>
          <w:w w:val="100"/>
          <w:position w:val="0"/>
          <w:shd w:val="clear" w:color="auto" w:fill="auto"/>
          <w:lang w:val="en-US" w:eastAsia="en-US" w:bidi="en-US"/>
        </w:rPr>
        <w:t xml:space="preserve"> of all the quantities of heat supplied to, and of work done </w:t>
      </w:r>
      <w:r>
        <w:rPr>
          <w:rFonts w:ascii="Times New Roman" w:eastAsia="Times New Roman" w:hAnsi="Times New Roman" w:cs="Times New Roman"/>
          <w:i/>
          <w:iCs/>
          <w:color w:val="000000"/>
          <w:spacing w:val="0"/>
          <w:w w:val="100"/>
          <w:position w:val="0"/>
          <w:shd w:val="clear" w:color="auto" w:fill="auto"/>
          <w:lang w:val="en-US" w:eastAsia="en-US" w:bidi="en-US"/>
        </w:rPr>
        <w:t>by</w:t>
      </w:r>
      <w:r>
        <w:rPr>
          <w:rFonts w:ascii="Times New Roman" w:eastAsia="Times New Roman" w:hAnsi="Times New Roman" w:cs="Times New Roman"/>
          <w:color w:val="000000"/>
          <w:spacing w:val="0"/>
          <w:w w:val="100"/>
          <w:position w:val="0"/>
          <w:shd w:val="clear" w:color="auto" w:fill="auto"/>
          <w:lang w:val="en-US" w:eastAsia="en-US" w:bidi="en-US"/>
        </w:rPr>
        <w:t xml:space="preserve"> the body, heat taken </w:t>
      </w:r>
      <w:r>
        <w:rPr>
          <w:rFonts w:ascii="Times New Roman" w:eastAsia="Times New Roman" w:hAnsi="Times New Roman" w:cs="Times New Roman"/>
          <w:i/>
          <w:iCs/>
          <w:color w:val="000000"/>
          <w:spacing w:val="0"/>
          <w:w w:val="100"/>
          <w:position w:val="0"/>
          <w:shd w:val="clear" w:color="auto" w:fill="auto"/>
          <w:lang w:val="en-US" w:eastAsia="en-US" w:bidi="en-US"/>
        </w:rPr>
        <w:t>from</w:t>
      </w:r>
      <w:r>
        <w:rPr>
          <w:rFonts w:ascii="Times New Roman" w:eastAsia="Times New Roman" w:hAnsi="Times New Roman" w:cs="Times New Roman"/>
          <w:color w:val="000000"/>
          <w:spacing w:val="0"/>
          <w:w w:val="100"/>
          <w:position w:val="0"/>
          <w:shd w:val="clear" w:color="auto" w:fill="auto"/>
          <w:lang w:val="en-US" w:eastAsia="en-US" w:bidi="en-US"/>
        </w:rPr>
        <w:t xml:space="preserve"> the body or work done </w:t>
      </w:r>
      <w:r>
        <w:rPr>
          <w:rFonts w:ascii="Times New Roman" w:eastAsia="Times New Roman" w:hAnsi="Times New Roman" w:cs="Times New Roman"/>
          <w:i/>
          <w:iCs/>
          <w:color w:val="000000"/>
          <w:spacing w:val="0"/>
          <w:w w:val="100"/>
          <w:position w:val="0"/>
          <w:shd w:val="clear" w:color="auto" w:fill="auto"/>
          <w:lang w:val="en-US" w:eastAsia="en-US" w:bidi="en-US"/>
        </w:rPr>
        <w:t>on</w:t>
      </w:r>
      <w:r>
        <w:rPr>
          <w:rFonts w:ascii="Times New Roman" w:eastAsia="Times New Roman" w:hAnsi="Times New Roman" w:cs="Times New Roman"/>
          <w:color w:val="000000"/>
          <w:spacing w:val="0"/>
          <w:w w:val="100"/>
          <w:position w:val="0"/>
          <w:shd w:val="clear" w:color="auto" w:fill="auto"/>
          <w:lang w:val="en-US" w:eastAsia="en-US" w:bidi="en-US"/>
        </w:rPr>
        <w:t xml:space="preserve"> the body being reckoned negative in the summation. </w:t>
      </w:r>
      <w:r>
        <w:rPr>
          <w:rFonts w:ascii="Times New Roman" w:eastAsia="Times New Roman" w:hAnsi="Times New Roman" w:cs="Times New Roman"/>
          <w:i/>
          <w:iCs/>
          <w:color w:val="000000"/>
          <w:spacing w:val="0"/>
          <w:w w:val="100"/>
          <w:position w:val="0"/>
          <w:shd w:val="clear" w:color="auto" w:fill="auto"/>
          <w:lang w:val="en-US" w:eastAsia="en-US" w:bidi="en-US"/>
        </w:rPr>
        <w:t>E— Eo,</w:t>
      </w:r>
      <w:r>
        <w:rPr>
          <w:rFonts w:ascii="Times New Roman" w:eastAsia="Times New Roman" w:hAnsi="Times New Roman" w:cs="Times New Roman"/>
          <w:color w:val="000000"/>
          <w:spacing w:val="0"/>
          <w:w w:val="100"/>
          <w:position w:val="0"/>
          <w:shd w:val="clear" w:color="auto" w:fill="auto"/>
          <w:lang w:val="en-US" w:eastAsia="en-US" w:bidi="en-US"/>
        </w:rPr>
        <w:t xml:space="preserve"> then, represents the total increase of the intrinsic energy of the body in its final state, which may be deter</w:t>
        <w:softHyphen/>
        <w:t xml:space="preserve">mined by measuring </w:t>
      </w:r>
      <w:r>
        <w:rPr>
          <w:rFonts w:ascii="Times New Roman" w:eastAsia="Times New Roman" w:hAnsi="Times New Roman" w:cs="Times New Roman"/>
          <w:i/>
          <w:iCs/>
          <w:color w:val="000000"/>
          <w:spacing w:val="0"/>
          <w:w w:val="100"/>
          <w:position w:val="0"/>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If after any series or cycle of transformations the body is restored to its initial state, we must have E = Eo, whence it follows that </w:t>
      </w:r>
      <w:r>
        <w:rPr>
          <w:rFonts w:ascii="Times New Roman" w:eastAsia="Times New Roman" w:hAnsi="Times New Roman" w:cs="Times New Roman"/>
          <w:i/>
          <w:iCs/>
          <w:color w:val="000000"/>
          <w:spacing w:val="0"/>
          <w:w w:val="100"/>
          <w:position w:val="0"/>
          <w:shd w:val="clear" w:color="auto" w:fill="auto"/>
          <w:lang w:val="en-US" w:eastAsia="en-US" w:bidi="en-US"/>
        </w:rPr>
        <w:t>II=W.</w:t>
      </w:r>
      <w:r>
        <w:rPr>
          <w:rFonts w:ascii="Times New Roman" w:eastAsia="Times New Roman" w:hAnsi="Times New Roman" w:cs="Times New Roman"/>
          <w:color w:val="000000"/>
          <w:spacing w:val="0"/>
          <w:w w:val="100"/>
          <w:position w:val="0"/>
          <w:shd w:val="clear" w:color="auto" w:fill="auto"/>
          <w:lang w:val="en-US" w:eastAsia="en-US" w:bidi="en-US"/>
        </w:rPr>
        <w:t xml:space="preserve"> But this simple rela</w:t>
        <w:softHyphen/>
        <w:t>tion is only true of the net balances of heat and work in a complete cyclical process, which must be adopted for theoretical purposes if we wish to eliminate the unknown changes of intrinsic energy. The balance of work obtainable in such a cycle depends on the limits of temperature in a manner which forms the subject of the second law.</w:t>
      </w:r>
    </w:p>
    <w:p>
      <w:pPr>
        <w:pStyle w:val="Style3"/>
        <w:keepNext w:val="0"/>
        <w:keepLines w:val="0"/>
        <w:widowControl w:val="0"/>
        <w:shd w:val="clear" w:color="auto" w:fill="auto"/>
        <w:tabs>
          <w:tab w:pos="437"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Indicator or p.υ. Diagram.—</w:t>
      </w:r>
      <w:r>
        <w:rPr>
          <w:rFonts w:ascii="Times New Roman" w:eastAsia="Times New Roman" w:hAnsi="Times New Roman" w:cs="Times New Roman"/>
          <w:color w:val="000000"/>
          <w:spacing w:val="0"/>
          <w:w w:val="100"/>
          <w:position w:val="0"/>
          <w:shd w:val="clear" w:color="auto" w:fill="auto"/>
          <w:lang w:val="en-US" w:eastAsia="en-US" w:bidi="en-US"/>
        </w:rPr>
        <w:t>The significance of relation (1) is best appreciated by considering the graphic representation of quantities of heat and energy on a work-diagram.</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familiar indicator diagram the state of the working sub</w:t>
        <w:softHyphen/>
        <w:t>stance is represented by the position of a point called the “ state</w:t>
        <w:softHyphen/>
        <w:t xml:space="preserve">point,” defined by the values of the pressure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volume </w:t>
      </w:r>
      <w:r>
        <w:rPr>
          <w:rFonts w:ascii="Times New Roman" w:eastAsia="Times New Roman" w:hAnsi="Times New Roman" w:cs="Times New Roman"/>
          <w:i/>
          <w:iCs/>
          <w:color w:val="000000"/>
          <w:spacing w:val="0"/>
          <w:w w:val="100"/>
          <w:position w:val="0"/>
          <w:shd w:val="clear" w:color="auto" w:fill="auto"/>
          <w:lang w:val="en-US" w:eastAsia="en-US" w:bidi="en-US"/>
        </w:rPr>
        <w:t>v of unit mass,</w:t>
      </w:r>
      <w:r>
        <w:rPr>
          <w:rFonts w:ascii="Times New Roman" w:eastAsia="Times New Roman" w:hAnsi="Times New Roman" w:cs="Times New Roman"/>
          <w:color w:val="000000"/>
          <w:spacing w:val="0"/>
          <w:w w:val="100"/>
          <w:position w:val="0"/>
          <w:shd w:val="clear" w:color="auto" w:fill="auto"/>
          <w:lang w:val="en-US" w:eastAsia="en-US" w:bidi="en-US"/>
        </w:rPr>
        <w:t xml:space="preserve"> as ordinate and abscissa respectively (fig. l)</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Any line (“ path ” or “ graph ”) on the diagram, such as BCD, represents an “ operation ’ or “ process ”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 continuous series of states through which the substance may be made to pass in any trans</w:t>
        <w:softHyphen/>
        <w:t>formation. It is tacitly assumed that the motion is relatively so slow that the pressure and temperature of the substance are prac</w:t>
        <w:softHyphen/>
        <w:t xml:space="preserve">tically uniform throughout its mass at any stage of the process. Otherwise the transformation could not be fully represented on the diagram, and would not be reversible. The area BCDd⅛ under the path represents the external work done </w:t>
      </w:r>
      <w:r>
        <w:rPr>
          <w:rFonts w:ascii="Times New Roman" w:eastAsia="Times New Roman" w:hAnsi="Times New Roman" w:cs="Times New Roman"/>
          <w:i/>
          <w:iCs/>
          <w:color w:val="000000"/>
          <w:spacing w:val="0"/>
          <w:w w:val="100"/>
          <w:position w:val="0"/>
          <w:shd w:val="clear" w:color="auto" w:fill="auto"/>
          <w:lang w:val="en-US" w:eastAsia="en-US" w:bidi="en-US"/>
        </w:rPr>
        <w:t>by</w:t>
      </w:r>
      <w:r>
        <w:rPr>
          <w:rFonts w:ascii="Times New Roman" w:eastAsia="Times New Roman" w:hAnsi="Times New Roman" w:cs="Times New Roman"/>
          <w:color w:val="000000"/>
          <w:spacing w:val="0"/>
          <w:w w:val="100"/>
          <w:position w:val="0"/>
          <w:shd w:val="clear" w:color="auto" w:fill="auto"/>
          <w:lang w:val="en-US" w:eastAsia="en-US" w:bidi="en-US"/>
        </w:rPr>
        <w:t xml:space="preserve"> the substance in</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character" w:customStyle="1" w:styleId="CharStyle13">
    <w:name w:val="Body text (5)_"/>
    <w:basedOn w:val="DefaultParagraphFont"/>
    <w:link w:val="Style12"/>
    <w:rPr>
      <w:b/>
      <w:bCs/>
      <w:i w:val="0"/>
      <w:iCs w:val="0"/>
      <w:smallCaps w:val="0"/>
      <w:strike w:val="0"/>
      <w:sz w:val="12"/>
      <w:szCs w:val="12"/>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12">
    <w:name w:val="Body text (5)"/>
    <w:basedOn w:val="Normal"/>
    <w:link w:val="CharStyle13"/>
    <w:pPr>
      <w:widowControl w:val="0"/>
      <w:shd w:val="clear" w:color="auto" w:fill="FFFFFF"/>
      <w:jc w:val="right"/>
    </w:pPr>
    <w:rPr>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